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B2B6E8" w14:textId="2FF861F4" w:rsidR="00910B09" w:rsidRPr="00565494" w:rsidRDefault="00910B09" w:rsidP="00910B09">
      <w:pPr>
        <w:widowControl w:val="0"/>
        <w:jc w:val="right"/>
        <w:rPr>
          <w:rFonts w:ascii="Verdana" w:eastAsia="Verdana" w:hAnsi="Verdana" w:cs="Verdana"/>
          <w:sz w:val="20"/>
          <w:szCs w:val="20"/>
          <w:lang w:val="uk-UA"/>
        </w:rPr>
      </w:pPr>
    </w:p>
    <w:p w14:paraId="3F0DA05D" w14:textId="4D65EFF0" w:rsidR="00910B09" w:rsidRPr="00910B09" w:rsidRDefault="00910B09" w:rsidP="00910B09">
      <w:pPr>
        <w:widowControl w:val="0"/>
        <w:jc w:val="center"/>
        <w:rPr>
          <w:rFonts w:ascii="Verdana" w:eastAsia="Verdana" w:hAnsi="Verdana" w:cs="Verdana"/>
          <w:b/>
          <w:bCs/>
          <w:sz w:val="20"/>
          <w:szCs w:val="20"/>
        </w:rPr>
      </w:pPr>
      <w:r>
        <w:rPr>
          <w:rFonts w:ascii="Verdana" w:eastAsia="Verdana" w:hAnsi="Verdana" w:cs="Verdana"/>
          <w:b/>
          <w:bCs/>
          <w:sz w:val="20"/>
          <w:szCs w:val="20"/>
        </w:rPr>
        <w:t>ТЕХНІЧНЕ ЗАВДАННЯ</w:t>
      </w:r>
    </w:p>
    <w:p w14:paraId="4FB63306" w14:textId="64D15796" w:rsidR="00FB61BF" w:rsidRPr="00565494" w:rsidRDefault="00FB61BF" w:rsidP="00910B09">
      <w:pPr>
        <w:jc w:val="center"/>
        <w:rPr>
          <w:rFonts w:ascii="Verdana" w:hAnsi="Verdana"/>
          <w:b/>
          <w:sz w:val="20"/>
          <w:szCs w:val="20"/>
          <w:lang w:val="uk-UA"/>
        </w:rPr>
      </w:pPr>
      <w:r w:rsidRPr="00565494">
        <w:rPr>
          <w:rFonts w:ascii="Verdana" w:hAnsi="Verdana"/>
          <w:b/>
          <w:sz w:val="20"/>
          <w:szCs w:val="20"/>
          <w:lang w:val="uk-UA"/>
        </w:rPr>
        <w:t>Два юридичні експерти з розроб</w:t>
      </w:r>
      <w:r w:rsidR="00565494" w:rsidRPr="00565494">
        <w:rPr>
          <w:rFonts w:ascii="Verdana" w:hAnsi="Verdana"/>
          <w:b/>
          <w:sz w:val="20"/>
          <w:szCs w:val="20"/>
          <w:lang w:val="uk-UA"/>
        </w:rPr>
        <w:t>ки</w:t>
      </w:r>
      <w:r w:rsidRPr="00565494">
        <w:rPr>
          <w:rFonts w:ascii="Verdana" w:hAnsi="Verdana"/>
          <w:b/>
          <w:sz w:val="20"/>
          <w:szCs w:val="20"/>
          <w:lang w:val="uk-UA"/>
        </w:rPr>
        <w:t xml:space="preserve"> практичних юридичних кейсів для відбору керівництва Спеціалізованої антикорупційної прокуратури (САП)</w:t>
      </w:r>
    </w:p>
    <w:p w14:paraId="1610D7F2" w14:textId="77777777" w:rsidR="00910B09" w:rsidRPr="00910B09" w:rsidRDefault="00910B09" w:rsidP="00910B09">
      <w:pPr>
        <w:jc w:val="center"/>
        <w:rPr>
          <w:rFonts w:ascii="Verdana" w:hAnsi="Verdana"/>
          <w:b/>
          <w:sz w:val="20"/>
          <w:szCs w:val="20"/>
        </w:rPr>
      </w:pPr>
    </w:p>
    <w:p w14:paraId="6C360F0A" w14:textId="30DF80E5" w:rsidR="00FB61BF" w:rsidRPr="00565494" w:rsidRDefault="00FB61BF" w:rsidP="00910B09">
      <w:pPr>
        <w:ind w:left="142"/>
        <w:rPr>
          <w:rFonts w:ascii="Verdana" w:hAnsi="Verdana"/>
          <w:sz w:val="20"/>
          <w:szCs w:val="20"/>
          <w:lang w:val="uk-UA"/>
        </w:rPr>
      </w:pPr>
      <w:r w:rsidRPr="00910B09">
        <w:rPr>
          <w:rFonts w:ascii="Verdana" w:hAnsi="Verdana"/>
          <w:b/>
          <w:sz w:val="20"/>
          <w:szCs w:val="20"/>
        </w:rPr>
        <w:t xml:space="preserve">1. </w:t>
      </w:r>
      <w:r w:rsidR="00565494">
        <w:rPr>
          <w:rFonts w:ascii="Verdana" w:hAnsi="Verdana"/>
          <w:b/>
          <w:sz w:val="20"/>
          <w:szCs w:val="20"/>
          <w:lang w:val="uk-UA"/>
        </w:rPr>
        <w:t>Загальна інформація</w:t>
      </w:r>
    </w:p>
    <w:p w14:paraId="11F88939" w14:textId="6B58FB86" w:rsidR="00E76C65" w:rsidRPr="00910B09" w:rsidRDefault="00A2181E" w:rsidP="00910B09">
      <w:pPr>
        <w:ind w:left="142"/>
        <w:jc w:val="both"/>
        <w:rPr>
          <w:rFonts w:ascii="Verdana" w:hAnsi="Verdana"/>
          <w:sz w:val="20"/>
          <w:szCs w:val="20"/>
        </w:rPr>
      </w:pPr>
      <w:r w:rsidRPr="00565494">
        <w:rPr>
          <w:rFonts w:ascii="Verdana" w:hAnsi="Verdana"/>
          <w:sz w:val="20"/>
          <w:szCs w:val="20"/>
          <w:lang w:val="uk-UA"/>
        </w:rPr>
        <w:t>Антикорупційна ініціатива ЄС в Україні (</w:t>
      </w:r>
      <w:r w:rsidRPr="00910B09">
        <w:rPr>
          <w:rFonts w:ascii="Verdana" w:hAnsi="Verdana"/>
          <w:sz w:val="20"/>
          <w:szCs w:val="20"/>
        </w:rPr>
        <w:t>EUACI</w:t>
      </w:r>
      <w:r w:rsidRPr="00565494">
        <w:rPr>
          <w:rFonts w:ascii="Verdana" w:hAnsi="Verdana"/>
          <w:sz w:val="20"/>
          <w:szCs w:val="20"/>
          <w:lang w:val="uk-UA"/>
        </w:rPr>
        <w:t xml:space="preserve">) є програмою технічної підтримки Європейського Союзу у сфері протидії корупції в Україні, що фінансується Європейським Союзом та урядом Великої Британії у сфері міжнародного розвитку, </w:t>
      </w:r>
      <w:proofErr w:type="spellStart"/>
      <w:r w:rsidRPr="00565494">
        <w:rPr>
          <w:rFonts w:ascii="Verdana" w:hAnsi="Verdana"/>
          <w:sz w:val="20"/>
          <w:szCs w:val="20"/>
          <w:lang w:val="uk-UA"/>
        </w:rPr>
        <w:t>співфінансується</w:t>
      </w:r>
      <w:proofErr w:type="spellEnd"/>
      <w:r w:rsidRPr="00565494">
        <w:rPr>
          <w:rFonts w:ascii="Verdana" w:hAnsi="Verdana"/>
          <w:sz w:val="20"/>
          <w:szCs w:val="20"/>
          <w:lang w:val="uk-UA"/>
        </w:rPr>
        <w:t xml:space="preserve"> та впроваджується Міністерством закордонних справ Данії. </w:t>
      </w:r>
      <w:proofErr w:type="spellStart"/>
      <w:r w:rsidRPr="00910B09">
        <w:rPr>
          <w:rFonts w:ascii="Verdana" w:hAnsi="Verdana"/>
          <w:sz w:val="20"/>
          <w:szCs w:val="20"/>
        </w:rPr>
        <w:t>Її</w:t>
      </w:r>
      <w:proofErr w:type="spellEnd"/>
      <w:r w:rsidRPr="00910B09">
        <w:rPr>
          <w:rFonts w:ascii="Verdana" w:hAnsi="Verdana"/>
          <w:sz w:val="20"/>
          <w:szCs w:val="20"/>
        </w:rPr>
        <w:t xml:space="preserve"> </w:t>
      </w:r>
      <w:proofErr w:type="spellStart"/>
      <w:r w:rsidRPr="00910B09">
        <w:rPr>
          <w:rFonts w:ascii="Verdana" w:hAnsi="Verdana"/>
          <w:sz w:val="20"/>
          <w:szCs w:val="20"/>
        </w:rPr>
        <w:t>загальною</w:t>
      </w:r>
      <w:proofErr w:type="spellEnd"/>
      <w:r w:rsidRPr="00910B09">
        <w:rPr>
          <w:rFonts w:ascii="Verdana" w:hAnsi="Verdana"/>
          <w:sz w:val="20"/>
          <w:szCs w:val="20"/>
        </w:rPr>
        <w:t xml:space="preserve"> </w:t>
      </w:r>
      <w:proofErr w:type="spellStart"/>
      <w:r w:rsidRPr="00910B09">
        <w:rPr>
          <w:rFonts w:ascii="Verdana" w:hAnsi="Verdana"/>
          <w:sz w:val="20"/>
          <w:szCs w:val="20"/>
        </w:rPr>
        <w:t>метою</w:t>
      </w:r>
      <w:proofErr w:type="spellEnd"/>
      <w:r w:rsidRPr="00910B09">
        <w:rPr>
          <w:rFonts w:ascii="Verdana" w:hAnsi="Verdana"/>
          <w:sz w:val="20"/>
          <w:szCs w:val="20"/>
        </w:rPr>
        <w:t xml:space="preserve"> є досягнення значного прогресу в запобіганні та протидії корупції, забезпечення узгоджених і системних антикорупційних дій органів державної влади та місцевого самоврядування, а також посилення спроможності громадянського суспільства і громадян робити внесок в антикорупційні зусилля та відновлення України. Програма триває до квітня 2027 року.</w:t>
      </w:r>
    </w:p>
    <w:p w14:paraId="06B512D9"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Одним із ключових бенефіціарів EUACI є Спеціалізована антикорупційна прокуратура (САП). Створена у 2015 році та реорганізована у 2024 році як окрема юридична особа, САП є органом прокуратури, відповідальним за здійснення процесуального керівництва досудовими розслідуваннями, які проводить Національне антикорупційне бюро України, підтримання публічного обвинувачення у відповідних кримінальних провадженнях та представництво інтересів держави у випадках, визначених законом. Закон України «Про прокуратуру» визначає статус, мандат, повноваження та організацію САП, а Кримінальний процесуальний кодекс України — застосовну процесуальну базу та підслідність.</w:t>
      </w:r>
    </w:p>
    <w:p w14:paraId="6BA0B8B7"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Відповідно до статті 29-1 Закону України «Про прокуратуру» кандидати на посади Керівника, першого заступника Керівника та заступника Керівника САП відбираються шляхом відкритого конкурсу, який проводить Конкурсна комісія у складі шести членів. Трьох членів призначає Генеральний прокурор за поданням Ради прокурорів України, а ще трьох — за пропозиціями міжнародних та іноземних організацій, які відповідають установленим вимогам.</w:t>
      </w:r>
    </w:p>
    <w:p w14:paraId="0FDB32EE" w14:textId="1E5BD9BE" w:rsidR="00E76C65" w:rsidRPr="00910B09" w:rsidRDefault="00A2181E" w:rsidP="00910B09">
      <w:pPr>
        <w:ind w:left="142"/>
        <w:jc w:val="both"/>
        <w:rPr>
          <w:rFonts w:ascii="Verdana" w:hAnsi="Verdana"/>
          <w:sz w:val="20"/>
          <w:szCs w:val="20"/>
        </w:rPr>
      </w:pPr>
      <w:r w:rsidRPr="00910B09">
        <w:rPr>
          <w:rFonts w:ascii="Verdana" w:hAnsi="Verdana"/>
          <w:sz w:val="20"/>
          <w:szCs w:val="20"/>
        </w:rPr>
        <w:t>Конкурсна комісія з відбору заступника Керівника САП оголосила конкурс і затвердила його рамку та основні етапи оцінювання: тестування на знання законодавства, тестування когнітивних здібностей, письмовий практичний юридичний кейс, кейс для оцінювання лідерських якостей та співбесіди.</w:t>
      </w:r>
    </w:p>
    <w:p w14:paraId="2F928A9E" w14:textId="77777777" w:rsidR="00FB61BF" w:rsidRPr="00910B09" w:rsidRDefault="00A2181E" w:rsidP="00910B09">
      <w:pPr>
        <w:ind w:left="142"/>
        <w:jc w:val="both"/>
        <w:rPr>
          <w:rFonts w:ascii="Verdana" w:hAnsi="Verdana"/>
          <w:sz w:val="20"/>
          <w:szCs w:val="20"/>
        </w:rPr>
      </w:pPr>
      <w:r w:rsidRPr="00910B09">
        <w:rPr>
          <w:rFonts w:ascii="Verdana" w:hAnsi="Verdana"/>
          <w:sz w:val="20"/>
          <w:szCs w:val="20"/>
        </w:rPr>
        <w:t>Письмове практичне юридичне завдання має перевіряти здатність кандидатів застосовувати право до складних фактичних обставин, здійснювати професійний прокурорський розсуд, визначати процесуальні та інституційні ризики, а також формулювати юридично обґрунтовані й практично здійсненні рішення. Завдання має відображати мандат та операційне середовище САП без відтворення конфіденційної інформації або будь-якого реального провадження, що перебуває на розгляді.</w:t>
      </w:r>
    </w:p>
    <w:p w14:paraId="3D13A531" w14:textId="242B6370" w:rsidR="00E76C65" w:rsidRPr="00910B09" w:rsidRDefault="00A2181E" w:rsidP="00910B09">
      <w:pPr>
        <w:ind w:left="142"/>
        <w:rPr>
          <w:rFonts w:ascii="Verdana" w:hAnsi="Verdana"/>
          <w:sz w:val="20"/>
          <w:szCs w:val="20"/>
        </w:rPr>
      </w:pPr>
      <w:r w:rsidRPr="00910B09">
        <w:rPr>
          <w:rFonts w:ascii="Verdana" w:hAnsi="Verdana"/>
          <w:b/>
          <w:sz w:val="20"/>
          <w:szCs w:val="20"/>
        </w:rPr>
        <w:t>2. Мета завдання</w:t>
      </w:r>
    </w:p>
    <w:p w14:paraId="35B50AF7" w14:textId="610C80FC" w:rsidR="00E76C65" w:rsidRPr="00910B09" w:rsidRDefault="00A2181E" w:rsidP="00910B09">
      <w:pPr>
        <w:ind w:left="142"/>
        <w:jc w:val="both"/>
        <w:rPr>
          <w:rFonts w:ascii="Verdana" w:hAnsi="Verdana"/>
          <w:sz w:val="20"/>
          <w:szCs w:val="20"/>
        </w:rPr>
      </w:pPr>
      <w:r w:rsidRPr="00910B09">
        <w:rPr>
          <w:rFonts w:ascii="Verdana" w:hAnsi="Verdana"/>
          <w:sz w:val="20"/>
          <w:szCs w:val="20"/>
        </w:rPr>
        <w:t>Метою завдання є підтримка Конкурсної комісії в оцінюванні юридичної компетентності, аналітичного мислення та професійного судження кандидатів на посади Керівника і заступника Керівника САП за допомогою чотирьох професійно розроблених практичних юридичних кейсів та єдиної методології оцінювання і виставлення балів.</w:t>
      </w:r>
    </w:p>
    <w:p w14:paraId="50484EAB" w14:textId="77777777" w:rsidR="00FB61BF" w:rsidRPr="00910B09" w:rsidRDefault="00A2181E" w:rsidP="00910B09">
      <w:pPr>
        <w:ind w:left="142"/>
        <w:jc w:val="both"/>
        <w:rPr>
          <w:rFonts w:ascii="Verdana" w:hAnsi="Verdana"/>
          <w:sz w:val="20"/>
          <w:szCs w:val="20"/>
        </w:rPr>
      </w:pPr>
      <w:r w:rsidRPr="00910B09">
        <w:rPr>
          <w:rFonts w:ascii="Verdana" w:hAnsi="Verdana"/>
          <w:sz w:val="20"/>
          <w:szCs w:val="20"/>
        </w:rPr>
        <w:t>Усі чотири кейси мають бути придатними для використання в обох конкурсах. Вони мають оцінювати компетентності, релевантні для обох посад, і не повинні залежати від повноважень, функцій чи обставин, властивих лише одній посаді. Кейси мають бути порівнюваними за складністю, обсягом роботи та можливостями для оцінювання.</w:t>
      </w:r>
    </w:p>
    <w:p w14:paraId="29111E31" w14:textId="2327FE02" w:rsidR="00E76C65" w:rsidRPr="00910B09" w:rsidRDefault="00A2181E" w:rsidP="00910B09">
      <w:pPr>
        <w:ind w:left="142"/>
        <w:jc w:val="both"/>
        <w:rPr>
          <w:rFonts w:ascii="Verdana" w:hAnsi="Verdana"/>
          <w:sz w:val="20"/>
          <w:szCs w:val="20"/>
        </w:rPr>
      </w:pPr>
      <w:r w:rsidRPr="00910B09">
        <w:rPr>
          <w:rFonts w:ascii="Verdana" w:hAnsi="Verdana"/>
          <w:b/>
          <w:sz w:val="20"/>
          <w:szCs w:val="20"/>
        </w:rPr>
        <w:lastRenderedPageBreak/>
        <w:t>3. Обсяг робіт</w:t>
      </w:r>
    </w:p>
    <w:p w14:paraId="1D048A7E" w14:textId="77777777" w:rsidR="00FB61BF" w:rsidRPr="00910B09" w:rsidRDefault="00A2181E" w:rsidP="00910B09">
      <w:pPr>
        <w:ind w:left="142"/>
        <w:rPr>
          <w:rFonts w:ascii="Verdana" w:hAnsi="Verdana"/>
          <w:sz w:val="20"/>
          <w:szCs w:val="20"/>
        </w:rPr>
      </w:pPr>
      <w:r w:rsidRPr="00910B09">
        <w:rPr>
          <w:rFonts w:ascii="Verdana" w:hAnsi="Verdana"/>
          <w:sz w:val="20"/>
          <w:szCs w:val="20"/>
        </w:rPr>
        <w:t>Експерти мають виконати такі завдання:</w:t>
      </w:r>
    </w:p>
    <w:p w14:paraId="48D26CE8" w14:textId="77777777" w:rsidR="00FB61BF" w:rsidRPr="00910B09" w:rsidRDefault="00A2181E" w:rsidP="00910B09">
      <w:pPr>
        <w:ind w:left="142"/>
        <w:jc w:val="both"/>
        <w:rPr>
          <w:rFonts w:ascii="Verdana" w:hAnsi="Verdana"/>
          <w:sz w:val="20"/>
          <w:szCs w:val="20"/>
        </w:rPr>
      </w:pPr>
      <w:r>
        <w:rPr>
          <w:rFonts w:ascii="Verdana" w:hAnsi="Verdana"/>
          <w:b/>
          <w:sz w:val="20"/>
          <w:szCs w:val="20"/>
        </w:rPr>
        <w:t xml:space="preserve">1. </w:t>
      </w:r>
      <w:r>
        <w:rPr>
          <w:rFonts w:ascii="Verdana" w:hAnsi="Verdana"/>
          <w:sz w:val="20"/>
          <w:szCs w:val="20"/>
        </w:rPr>
        <w:t>Ознайомитися з правовими, інституційними та процесуальними матеріалами, релевантними для виконання завдання, зокрема із Законом України «Про прокуратуру», Кримінальним процесуальним кодексом України, законодавством, що регулює діяльність НАБУ та Вищого антикорупційного суду, відповідним антикорупційним законодавством, конкурсною документацією, вимогами до компетентностей і матеріалами, наданими Конкурсною комісією.</w:t>
      </w:r>
    </w:p>
    <w:p w14:paraId="2E069003" w14:textId="77777777" w:rsidR="00FB61BF" w:rsidRPr="00910B09" w:rsidRDefault="00A2181E" w:rsidP="00910B09">
      <w:pPr>
        <w:ind w:left="142"/>
        <w:jc w:val="both"/>
        <w:rPr>
          <w:rFonts w:ascii="Verdana" w:hAnsi="Verdana"/>
          <w:sz w:val="20"/>
          <w:szCs w:val="20"/>
        </w:rPr>
      </w:pPr>
      <w:r>
        <w:rPr>
          <w:rFonts w:ascii="Verdana" w:hAnsi="Verdana"/>
          <w:b/>
          <w:sz w:val="20"/>
          <w:szCs w:val="20"/>
        </w:rPr>
        <w:t xml:space="preserve">2. </w:t>
      </w:r>
      <w:r>
        <w:rPr>
          <w:rFonts w:ascii="Verdana" w:hAnsi="Verdana"/>
          <w:sz w:val="20"/>
          <w:szCs w:val="20"/>
        </w:rPr>
        <w:t>Взяти участь у зустрічі з Конкурсною комісією, щоб з’ясувати її цілі оцінювання, юридичні та професійні компетентності, які вона прагне перевірити, а також очікування щодо формату, складності, тривалості, дозволених довідкових матеріалів і порядку оцінювання практичного завдання.</w:t>
      </w:r>
    </w:p>
    <w:p w14:paraId="170FBD17" w14:textId="13637E3E" w:rsidR="00FB61BF" w:rsidRPr="00565494" w:rsidRDefault="00FB61BF" w:rsidP="00910B09">
      <w:pPr>
        <w:ind w:left="142"/>
        <w:jc w:val="both"/>
        <w:rPr>
          <w:rFonts w:ascii="Verdana" w:hAnsi="Verdana"/>
          <w:sz w:val="20"/>
          <w:szCs w:val="20"/>
          <w:lang w:val="uk-UA"/>
        </w:rPr>
      </w:pPr>
      <w:r>
        <w:rPr>
          <w:rFonts w:ascii="Verdana" w:hAnsi="Verdana"/>
          <w:b/>
          <w:sz w:val="20"/>
          <w:szCs w:val="20"/>
        </w:rPr>
        <w:t xml:space="preserve">3. </w:t>
      </w:r>
      <w:r w:rsidRPr="00565494">
        <w:rPr>
          <w:rFonts w:ascii="Verdana" w:hAnsi="Verdana"/>
          <w:sz w:val="20"/>
          <w:szCs w:val="20"/>
          <w:lang w:val="uk-UA"/>
        </w:rPr>
        <w:t>Розробити один практичний юридичний кейс, адаптований до мандат</w:t>
      </w:r>
      <w:r w:rsidR="00565494" w:rsidRPr="00565494">
        <w:rPr>
          <w:rFonts w:ascii="Verdana" w:hAnsi="Verdana"/>
          <w:sz w:val="20"/>
          <w:szCs w:val="20"/>
          <w:lang w:val="uk-UA"/>
        </w:rPr>
        <w:t>у</w:t>
      </w:r>
      <w:r w:rsidRPr="00565494">
        <w:rPr>
          <w:rFonts w:ascii="Verdana" w:hAnsi="Verdana"/>
          <w:sz w:val="20"/>
          <w:szCs w:val="20"/>
          <w:lang w:val="uk-UA"/>
        </w:rPr>
        <w:t xml:space="preserve"> САП та українського контексту. Кейс має містити реалістичний, але вигаданий сценарій, що вимагатиме від кандидатів проаналізувати фактичні обставини, визначити правову базу, оцінити процесуальні та інституційні ризики, а також запропонувати й обґрунтувати порядок дій.</w:t>
      </w:r>
    </w:p>
    <w:p w14:paraId="0BF4C7CC" w14:textId="6AEEC68B" w:rsidR="00FB61BF" w:rsidRPr="00565494" w:rsidRDefault="00FB61BF" w:rsidP="00910B09">
      <w:pPr>
        <w:ind w:left="142"/>
        <w:jc w:val="both"/>
        <w:rPr>
          <w:rFonts w:ascii="Verdana" w:hAnsi="Verdana"/>
          <w:sz w:val="20"/>
          <w:szCs w:val="20"/>
          <w:lang w:val="uk-UA"/>
        </w:rPr>
      </w:pPr>
      <w:r w:rsidRPr="00565494">
        <w:rPr>
          <w:rFonts w:ascii="Verdana" w:hAnsi="Verdana"/>
          <w:b/>
          <w:sz w:val="20"/>
          <w:szCs w:val="20"/>
          <w:lang w:val="uk-UA"/>
        </w:rPr>
        <w:t xml:space="preserve">4. </w:t>
      </w:r>
      <w:r w:rsidRPr="00565494">
        <w:rPr>
          <w:rFonts w:ascii="Verdana" w:hAnsi="Verdana"/>
          <w:sz w:val="20"/>
          <w:szCs w:val="20"/>
          <w:lang w:val="uk-UA"/>
        </w:rPr>
        <w:t>Розробити методологію оцінювання і виставлення балів для всіх чотирьох кейсів. Методологія має визначати критерії оцінювання, їхню вагу, шкалу оцінювання, рекомендації щодо часткового нарахування балів та приклади сильних, прийнятних і слабких відповідей. Вона має забезпечувати послідовне оцінювання різними оцінювачами.</w:t>
      </w:r>
    </w:p>
    <w:p w14:paraId="201AC5D0" w14:textId="77777777" w:rsidR="00FB61BF" w:rsidRPr="00910B09" w:rsidRDefault="00FB61BF" w:rsidP="00910B09">
      <w:pPr>
        <w:ind w:left="142"/>
        <w:jc w:val="both"/>
        <w:rPr>
          <w:rFonts w:ascii="Verdana" w:hAnsi="Verdana"/>
          <w:sz w:val="20"/>
          <w:szCs w:val="20"/>
        </w:rPr>
      </w:pPr>
      <w:r w:rsidRPr="00565494">
        <w:rPr>
          <w:rFonts w:ascii="Verdana" w:hAnsi="Verdana"/>
          <w:b/>
          <w:bCs/>
          <w:sz w:val="20"/>
          <w:szCs w:val="20"/>
          <w:lang w:val="uk-UA"/>
        </w:rPr>
        <w:t xml:space="preserve">5. </w:t>
      </w:r>
      <w:r>
        <w:rPr>
          <w:rFonts w:ascii="Verdana" w:hAnsi="Verdana"/>
          <w:bCs/>
          <w:sz w:val="20"/>
          <w:szCs w:val="20"/>
        </w:rPr>
        <w:t>Підготувати повний комплект матеріалів для тестування за початковим кейсом, включно з інструкціями для кандидатів, сценарієм і запитаннями, відведеним часом, дозволеними матеріалами, компетентностями, що оцінюються, модельною або орієнтовною відповіддю, детальною інструкцією з оцінювання та стандартною формою оцінювання.</w:t>
      </w:r>
    </w:p>
    <w:p w14:paraId="4AD460C5" w14:textId="77777777" w:rsidR="00FB61BF" w:rsidRPr="00910B09" w:rsidRDefault="00FB61BF" w:rsidP="00910B09">
      <w:pPr>
        <w:ind w:left="142"/>
        <w:jc w:val="both"/>
        <w:rPr>
          <w:rFonts w:ascii="Verdana" w:hAnsi="Verdana"/>
          <w:sz w:val="20"/>
          <w:szCs w:val="20"/>
        </w:rPr>
      </w:pPr>
      <w:r>
        <w:rPr>
          <w:rFonts w:ascii="Verdana" w:hAnsi="Verdana"/>
          <w:b/>
          <w:sz w:val="20"/>
          <w:szCs w:val="20"/>
        </w:rPr>
        <w:t xml:space="preserve">6. </w:t>
      </w:r>
      <w:r>
        <w:rPr>
          <w:rFonts w:ascii="Verdana" w:hAnsi="Verdana"/>
          <w:sz w:val="20"/>
          <w:szCs w:val="20"/>
        </w:rPr>
        <w:t>Подати початковий кейс та єдину методологію оцінювання Конкурсній комісії для розгляду і затвердження. Доопрацювати та фіналізувати їх з урахуванням узгоджених коментарів Комісії.</w:t>
      </w:r>
    </w:p>
    <w:p w14:paraId="717FB18A" w14:textId="77777777" w:rsidR="00FB61BF" w:rsidRPr="00910B09" w:rsidRDefault="00FB61BF" w:rsidP="00910B09">
      <w:pPr>
        <w:ind w:left="142"/>
        <w:jc w:val="both"/>
        <w:rPr>
          <w:rFonts w:ascii="Verdana" w:hAnsi="Verdana"/>
          <w:sz w:val="20"/>
          <w:szCs w:val="20"/>
        </w:rPr>
      </w:pPr>
      <w:r>
        <w:rPr>
          <w:rFonts w:ascii="Verdana" w:hAnsi="Verdana"/>
          <w:b/>
          <w:sz w:val="20"/>
          <w:szCs w:val="20"/>
        </w:rPr>
        <w:t xml:space="preserve">7. </w:t>
      </w:r>
      <w:r>
        <w:rPr>
          <w:rFonts w:ascii="Verdana" w:hAnsi="Verdana"/>
          <w:sz w:val="20"/>
          <w:szCs w:val="20"/>
        </w:rPr>
        <w:t>Розробити три додаткові практичні юридичні кейси з використанням структури, стандарту якості та методології, затверджених на основі початкового кейсу. Додаткові кейси мають бути еквівалентними за складністю та залишатися конфіденційними. Вони розкриваються Конкурсній комісії лише у день тестування у безпечний спосіб, погоджений із Комісією.</w:t>
      </w:r>
    </w:p>
    <w:p w14:paraId="568A747D" w14:textId="77777777" w:rsidR="00FB61BF" w:rsidRPr="00910B09" w:rsidRDefault="00FB61BF" w:rsidP="00910B09">
      <w:pPr>
        <w:ind w:left="142"/>
        <w:jc w:val="both"/>
        <w:rPr>
          <w:rFonts w:ascii="Verdana" w:hAnsi="Verdana"/>
          <w:sz w:val="20"/>
          <w:szCs w:val="20"/>
        </w:rPr>
      </w:pPr>
      <w:r>
        <w:rPr>
          <w:rFonts w:ascii="Verdana" w:hAnsi="Verdana"/>
          <w:b/>
          <w:sz w:val="20"/>
          <w:szCs w:val="20"/>
        </w:rPr>
        <w:t xml:space="preserve">8. </w:t>
      </w:r>
      <w:r>
        <w:rPr>
          <w:rFonts w:ascii="Verdana" w:hAnsi="Verdana"/>
          <w:sz w:val="20"/>
          <w:szCs w:val="20"/>
        </w:rPr>
        <w:t>Забезпечити придатність кожного кейсу для кандидатів як на посаду Керівника, так і на посаду заступника Керівника САП. Посилання на передбачувану роль кандидата мають бути нейтральними або такими, що можуть бути скориговані адміністративно без зміни фактичних обставин, правового аналізу, складності чи методології оцінювання.</w:t>
      </w:r>
    </w:p>
    <w:p w14:paraId="0A491930" w14:textId="77777777" w:rsidR="00FB61BF" w:rsidRPr="00910B09" w:rsidRDefault="00FB61BF" w:rsidP="00910B09">
      <w:pPr>
        <w:ind w:left="142"/>
        <w:jc w:val="both"/>
        <w:rPr>
          <w:rFonts w:ascii="Verdana" w:hAnsi="Verdana"/>
          <w:sz w:val="20"/>
          <w:szCs w:val="20"/>
        </w:rPr>
      </w:pPr>
      <w:r>
        <w:rPr>
          <w:rFonts w:ascii="Verdana" w:hAnsi="Verdana"/>
          <w:b/>
          <w:sz w:val="20"/>
          <w:szCs w:val="20"/>
        </w:rPr>
        <w:t xml:space="preserve">9. </w:t>
      </w:r>
      <w:r>
        <w:rPr>
          <w:rFonts w:ascii="Verdana" w:hAnsi="Verdana"/>
          <w:sz w:val="20"/>
          <w:szCs w:val="20"/>
        </w:rPr>
        <w:t>Забезпечити, щоб чотири кейси в сукупності перевіряли збалансований спектр питань, релевантних для роботи САП та обов’язків керівництва прокуратури вищого рівня.</w:t>
      </w:r>
    </w:p>
    <w:p w14:paraId="5D2D30B4" w14:textId="77777777" w:rsidR="00FB61BF" w:rsidRPr="00910B09" w:rsidRDefault="00A2181E" w:rsidP="00910B09">
      <w:pPr>
        <w:ind w:left="142"/>
        <w:jc w:val="both"/>
        <w:rPr>
          <w:rFonts w:ascii="Verdana" w:hAnsi="Verdana"/>
          <w:sz w:val="20"/>
          <w:szCs w:val="20"/>
        </w:rPr>
      </w:pPr>
      <w:r>
        <w:rPr>
          <w:rFonts w:ascii="Verdana" w:hAnsi="Verdana"/>
          <w:b/>
          <w:sz w:val="20"/>
          <w:szCs w:val="20"/>
        </w:rPr>
        <w:t xml:space="preserve">10. </w:t>
      </w:r>
      <w:r>
        <w:rPr>
          <w:rFonts w:ascii="Verdana" w:hAnsi="Verdana"/>
          <w:sz w:val="20"/>
          <w:szCs w:val="20"/>
        </w:rPr>
        <w:t>Надати Конкурсній комісії рекомендації щодо організації практичного завдання, зокрема стосовно часу, інструкцій для кандидатів, використання законодавства та інших довідкових матеріалів, анонімізації письмових робіт і безпечного поводження з матеріалами.</w:t>
      </w:r>
    </w:p>
    <w:p w14:paraId="2C24AACE" w14:textId="77777777" w:rsidR="00FB61BF" w:rsidRPr="00910B09" w:rsidRDefault="00A2181E" w:rsidP="00910B09">
      <w:pPr>
        <w:ind w:left="142"/>
        <w:jc w:val="both"/>
        <w:rPr>
          <w:rFonts w:ascii="Verdana" w:hAnsi="Verdana"/>
          <w:sz w:val="20"/>
          <w:szCs w:val="20"/>
        </w:rPr>
      </w:pPr>
      <w:r>
        <w:rPr>
          <w:rFonts w:ascii="Verdana" w:hAnsi="Verdana"/>
          <w:b/>
          <w:sz w:val="20"/>
          <w:szCs w:val="20"/>
        </w:rPr>
        <w:t xml:space="preserve">11. </w:t>
      </w:r>
      <w:r>
        <w:rPr>
          <w:rFonts w:ascii="Verdana" w:hAnsi="Verdana"/>
          <w:sz w:val="20"/>
          <w:szCs w:val="20"/>
        </w:rPr>
        <w:t>Якщо Комісія дозволить кандидатам користуватися нормативно-правовими актами під час виконання завдання, підготувати вичерпний перелік дозволеного законодавства та запропонувати єдиний спосіб доступу, що забезпечуватиме рівне ставлення до кандидатів.</w:t>
      </w:r>
    </w:p>
    <w:p w14:paraId="46B9B376" w14:textId="77777777" w:rsidR="00FB61BF" w:rsidRPr="00910B09" w:rsidRDefault="00A2181E" w:rsidP="00910B09">
      <w:pPr>
        <w:ind w:left="142"/>
        <w:jc w:val="both"/>
        <w:rPr>
          <w:rFonts w:ascii="Verdana" w:hAnsi="Verdana"/>
          <w:sz w:val="20"/>
          <w:szCs w:val="20"/>
        </w:rPr>
      </w:pPr>
      <w:r>
        <w:rPr>
          <w:rFonts w:ascii="Verdana" w:hAnsi="Verdana"/>
          <w:b/>
          <w:sz w:val="20"/>
          <w:szCs w:val="20"/>
        </w:rPr>
        <w:t xml:space="preserve">12. </w:t>
      </w:r>
      <w:r>
        <w:rPr>
          <w:rFonts w:ascii="Verdana" w:hAnsi="Verdana"/>
          <w:sz w:val="20"/>
          <w:szCs w:val="20"/>
        </w:rPr>
        <w:t>Забезпечувати сувору конфіденційність і безпечне поводження з усіма матеріалами кейсів, модельними відповідями, критеріями оцінювання та пов’язаною інформацією. Жоден сценарій не може містити персональні дані, інформацію з обмеженим доступом або факти, які можуть розкрити реальне розслідування, підтримання публічного обвинувачення чи судове провадження або завдати їм шкоди.</w:t>
      </w:r>
    </w:p>
    <w:p w14:paraId="5BB4F7A3" w14:textId="77777777" w:rsidR="007A4916" w:rsidRPr="007A4916" w:rsidRDefault="00A2181E" w:rsidP="007A4916">
      <w:pPr>
        <w:ind w:left="142"/>
        <w:jc w:val="both"/>
        <w:rPr>
          <w:rFonts w:ascii="Verdana" w:hAnsi="Verdana"/>
          <w:sz w:val="20"/>
          <w:szCs w:val="20"/>
          <w:lang w:val="uk-UA"/>
        </w:rPr>
      </w:pPr>
      <w:r>
        <w:rPr>
          <w:rFonts w:ascii="Verdana" w:hAnsi="Verdana"/>
          <w:b/>
          <w:sz w:val="20"/>
          <w:szCs w:val="20"/>
        </w:rPr>
        <w:lastRenderedPageBreak/>
        <w:t xml:space="preserve">13. </w:t>
      </w:r>
      <w:r>
        <w:rPr>
          <w:rFonts w:ascii="Verdana" w:hAnsi="Verdana"/>
          <w:sz w:val="20"/>
          <w:szCs w:val="20"/>
        </w:rPr>
        <w:t xml:space="preserve">Координувати змістовне розроблення кейсів виключно з Конкурсною комісією, її Секретаріатом та експертами, яких Комісія спеціально визначить для цього завдання. Договірна та адміністративна звітність перед EUACI не повинна передбачати змістовного розгляду чи </w:t>
      </w:r>
      <w:r w:rsidRPr="007A4916">
        <w:rPr>
          <w:rFonts w:ascii="Verdana" w:hAnsi="Verdana"/>
          <w:sz w:val="20"/>
          <w:szCs w:val="20"/>
          <w:lang w:val="uk-UA"/>
        </w:rPr>
        <w:t>погодження конфіденційного змісту кейсів.</w:t>
      </w:r>
    </w:p>
    <w:p w14:paraId="1A280788" w14:textId="03908E6F" w:rsidR="00FB61BF" w:rsidRPr="007A4916" w:rsidRDefault="00A2181E" w:rsidP="007A4916">
      <w:pPr>
        <w:ind w:left="142"/>
        <w:jc w:val="both"/>
        <w:rPr>
          <w:rFonts w:ascii="Verdana" w:hAnsi="Verdana"/>
          <w:sz w:val="20"/>
          <w:szCs w:val="20"/>
          <w:lang w:val="uk-UA"/>
        </w:rPr>
      </w:pPr>
      <w:r w:rsidRPr="007A4916">
        <w:rPr>
          <w:rFonts w:ascii="Verdana" w:hAnsi="Verdana"/>
          <w:sz w:val="20"/>
          <w:szCs w:val="20"/>
          <w:lang w:val="uk-UA"/>
        </w:rPr>
        <w:t>Кейси мають у сукупності охоплювати, зокрема, такі питання:</w:t>
      </w:r>
    </w:p>
    <w:p w14:paraId="1E9DE2F5" w14:textId="03D16DF3" w:rsidR="00E76C65"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 xml:space="preserve">застосування кримінального та кримінального процесуального права у складних провадженнях щодо </w:t>
      </w:r>
      <w:r w:rsidR="007A4916" w:rsidRPr="007A4916">
        <w:rPr>
          <w:rFonts w:ascii="Verdana" w:hAnsi="Verdana"/>
          <w:sz w:val="20"/>
          <w:szCs w:val="20"/>
          <w:lang w:val="uk-UA"/>
        </w:rPr>
        <w:t>топ корупції</w:t>
      </w:r>
      <w:r w:rsidRPr="007A4916">
        <w:rPr>
          <w:rFonts w:ascii="Verdana" w:hAnsi="Verdana"/>
          <w:sz w:val="20"/>
          <w:szCs w:val="20"/>
          <w:lang w:val="uk-UA"/>
        </w:rPr>
        <w:t>;</w:t>
      </w:r>
    </w:p>
    <w:p w14:paraId="2A18A0A8" w14:textId="0CCD1E30" w:rsidR="00E76C65"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процесуальне керівництво досудовими розслідуваннями та підтримання публічного обвинувачення;</w:t>
      </w:r>
    </w:p>
    <w:p w14:paraId="0DD803BB" w14:textId="25E9EB95" w:rsidR="00E76C65"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підслідність і підсудність, допустимість доказів, процесуальні строки та захист прав учасників;</w:t>
      </w:r>
    </w:p>
    <w:p w14:paraId="3313E757" w14:textId="32DF98DD" w:rsidR="00E76C65"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професійну незалежність, правомірне реагування на неправомірний вплив та управління конфліктами інтересів;</w:t>
      </w:r>
    </w:p>
    <w:p w14:paraId="1D9EB63F" w14:textId="2CA0C89C" w:rsidR="00E76C65"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визначення пріоритетів і розподіл прокурорських ресурсів у складних або чутливих провадженнях;</w:t>
      </w:r>
    </w:p>
    <w:p w14:paraId="6CC246DB" w14:textId="40552F27" w:rsidR="00E76C65"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співпрацю та правову координацію з НАБУ, Офісом Генерального прокурора та іншими компетентними органами;</w:t>
      </w:r>
    </w:p>
    <w:p w14:paraId="742533B2" w14:textId="2A668B92" w:rsidR="00E76C65"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міжнародне співробітництво, міжнародну правову допомогу, розшук і повернення активів у випадках, релевантних для мандата САП; та</w:t>
      </w:r>
    </w:p>
    <w:p w14:paraId="6B8B4363" w14:textId="77777777" w:rsidR="00FB61BF" w:rsidRPr="007A4916" w:rsidRDefault="00A2181E" w:rsidP="007A4916">
      <w:pPr>
        <w:pStyle w:val="ListParagraph"/>
        <w:numPr>
          <w:ilvl w:val="0"/>
          <w:numId w:val="19"/>
        </w:numPr>
        <w:jc w:val="both"/>
        <w:rPr>
          <w:rFonts w:ascii="Verdana" w:hAnsi="Verdana"/>
          <w:sz w:val="20"/>
          <w:szCs w:val="20"/>
          <w:lang w:val="uk-UA"/>
        </w:rPr>
      </w:pPr>
      <w:r w:rsidRPr="007A4916">
        <w:rPr>
          <w:rFonts w:ascii="Verdana" w:hAnsi="Verdana"/>
          <w:sz w:val="20"/>
          <w:szCs w:val="20"/>
          <w:lang w:val="uk-UA"/>
        </w:rPr>
        <w:t>конфіденційність, публічну комунікацію та процесуальні рішення у справах, що становлять значний суспільний інтерес.</w:t>
      </w:r>
    </w:p>
    <w:p w14:paraId="1EB3A99A" w14:textId="6AE012E7" w:rsidR="00FB61BF" w:rsidRPr="00910B09" w:rsidRDefault="00A2181E" w:rsidP="00910B09">
      <w:pPr>
        <w:ind w:left="142"/>
        <w:rPr>
          <w:rFonts w:ascii="Verdana" w:hAnsi="Verdana"/>
          <w:sz w:val="20"/>
          <w:szCs w:val="20"/>
        </w:rPr>
      </w:pPr>
      <w:r w:rsidRPr="00910B09">
        <w:rPr>
          <w:rFonts w:ascii="Verdana" w:hAnsi="Verdana"/>
          <w:b/>
          <w:sz w:val="20"/>
          <w:szCs w:val="20"/>
        </w:rPr>
        <w:t>4. Основні результати</w:t>
      </w:r>
    </w:p>
    <w:p w14:paraId="537541A2" w14:textId="7C568831" w:rsidR="00E76C65" w:rsidRPr="00910B09" w:rsidRDefault="00A2181E" w:rsidP="00910B09">
      <w:pPr>
        <w:ind w:left="142"/>
        <w:jc w:val="both"/>
        <w:rPr>
          <w:rFonts w:ascii="Verdana" w:hAnsi="Verdana"/>
          <w:sz w:val="20"/>
          <w:szCs w:val="20"/>
        </w:rPr>
      </w:pPr>
      <w:r>
        <w:rPr>
          <w:rFonts w:ascii="Verdana" w:hAnsi="Verdana"/>
          <w:b/>
          <w:sz w:val="20"/>
          <w:szCs w:val="20"/>
        </w:rPr>
        <w:t xml:space="preserve">1. </w:t>
      </w:r>
      <w:r>
        <w:rPr>
          <w:rFonts w:ascii="Verdana" w:hAnsi="Verdana"/>
          <w:sz w:val="20"/>
          <w:szCs w:val="20"/>
        </w:rPr>
        <w:t>Участь у вступній координаційній зустрічі та зустрічі з Конкурсною комісією з підтвердженням погодженого підходу, ролей, графіка і цілей оцінювання.</w:t>
      </w:r>
    </w:p>
    <w:p w14:paraId="13316CCD" w14:textId="388E17FA" w:rsidR="00E76C65" w:rsidRPr="00910B09" w:rsidRDefault="00A2181E" w:rsidP="00910B09">
      <w:pPr>
        <w:ind w:left="142"/>
        <w:jc w:val="both"/>
        <w:rPr>
          <w:rFonts w:ascii="Verdana" w:hAnsi="Verdana"/>
          <w:sz w:val="20"/>
          <w:szCs w:val="20"/>
        </w:rPr>
      </w:pPr>
      <w:r>
        <w:rPr>
          <w:rFonts w:ascii="Verdana" w:hAnsi="Verdana"/>
          <w:b/>
          <w:sz w:val="20"/>
          <w:szCs w:val="20"/>
        </w:rPr>
        <w:t xml:space="preserve">2. </w:t>
      </w:r>
      <w:r>
        <w:rPr>
          <w:rFonts w:ascii="Verdana" w:hAnsi="Verdana"/>
          <w:sz w:val="20"/>
          <w:szCs w:val="20"/>
        </w:rPr>
        <w:t>Один початковий практичний юридичний кейс і повний пакет матеріалів для оцінювання, подані Конкурсній комісії на розгляд та фіналізовані з урахуванням її узгоджених коментарів.</w:t>
      </w:r>
    </w:p>
    <w:p w14:paraId="6A27B0CA" w14:textId="1F1FCED3" w:rsidR="00E76C65" w:rsidRPr="00910B09" w:rsidRDefault="00FB61BF" w:rsidP="00910B09">
      <w:pPr>
        <w:ind w:left="142"/>
        <w:jc w:val="both"/>
        <w:rPr>
          <w:rFonts w:ascii="Verdana" w:hAnsi="Verdana"/>
          <w:sz w:val="20"/>
          <w:szCs w:val="20"/>
        </w:rPr>
      </w:pPr>
      <w:r>
        <w:rPr>
          <w:rFonts w:ascii="Verdana" w:hAnsi="Verdana"/>
          <w:b/>
          <w:sz w:val="20"/>
          <w:szCs w:val="20"/>
        </w:rPr>
        <w:t xml:space="preserve">3. </w:t>
      </w:r>
      <w:r>
        <w:rPr>
          <w:rFonts w:ascii="Verdana" w:hAnsi="Verdana"/>
          <w:sz w:val="20"/>
          <w:szCs w:val="20"/>
        </w:rPr>
        <w:t>Єдина методологія оцінювання і виставлення балів, включно з критеріями, їхньою вагою, шкалою оцінювання, модельними або орієнтовними відповідями, рекомендаціями щодо альтернативних правомірних підходів та стандартною формою оцінювання.</w:t>
      </w:r>
    </w:p>
    <w:p w14:paraId="0FB617B1" w14:textId="1950892C" w:rsidR="00E76C65" w:rsidRPr="00910B09" w:rsidRDefault="00FB61BF" w:rsidP="00910B09">
      <w:pPr>
        <w:ind w:left="142"/>
        <w:jc w:val="both"/>
        <w:rPr>
          <w:rFonts w:ascii="Verdana" w:hAnsi="Verdana"/>
          <w:sz w:val="20"/>
          <w:szCs w:val="20"/>
        </w:rPr>
      </w:pPr>
      <w:r>
        <w:rPr>
          <w:rFonts w:ascii="Verdana" w:hAnsi="Verdana"/>
          <w:b/>
          <w:sz w:val="20"/>
          <w:szCs w:val="20"/>
        </w:rPr>
        <w:t xml:space="preserve">4. </w:t>
      </w:r>
      <w:r>
        <w:rPr>
          <w:rFonts w:ascii="Verdana" w:hAnsi="Verdana"/>
          <w:sz w:val="20"/>
          <w:szCs w:val="20"/>
        </w:rPr>
        <w:t>Три додаткові практичні юридичні кейси та повні пакети матеріалів для оцінювання, розроблені на основі затвердженого початкового кейсу і методології та розкриті Конкурсній комісії лише у день тестування.</w:t>
      </w:r>
    </w:p>
    <w:p w14:paraId="57B7A0C4" w14:textId="6B6434E1" w:rsidR="00E76C65" w:rsidRPr="00910B09" w:rsidRDefault="00FB61BF" w:rsidP="00910B09">
      <w:pPr>
        <w:ind w:left="142"/>
        <w:jc w:val="both"/>
        <w:rPr>
          <w:rFonts w:ascii="Verdana" w:hAnsi="Verdana"/>
          <w:sz w:val="20"/>
          <w:szCs w:val="20"/>
        </w:rPr>
      </w:pPr>
      <w:r>
        <w:rPr>
          <w:rFonts w:ascii="Verdana" w:hAnsi="Verdana"/>
          <w:b/>
          <w:sz w:val="20"/>
          <w:szCs w:val="20"/>
        </w:rPr>
        <w:t xml:space="preserve">5. </w:t>
      </w:r>
      <w:r>
        <w:rPr>
          <w:rFonts w:ascii="Verdana" w:hAnsi="Verdana"/>
          <w:sz w:val="20"/>
          <w:szCs w:val="20"/>
        </w:rPr>
        <w:t>Перелік дозволеного законодавства та довідкових матеріалів, якщо Комісія вирішить, що кандидати можуть користуватися нормативно-правовими актами під час виконання завдання.</w:t>
      </w:r>
    </w:p>
    <w:p w14:paraId="28C897B1" w14:textId="77777777" w:rsidR="00FB61BF" w:rsidRPr="00910B09" w:rsidRDefault="00FB61BF" w:rsidP="00910B09">
      <w:pPr>
        <w:ind w:left="142"/>
        <w:jc w:val="both"/>
        <w:rPr>
          <w:rFonts w:ascii="Verdana" w:hAnsi="Verdana"/>
          <w:sz w:val="20"/>
          <w:szCs w:val="20"/>
        </w:rPr>
      </w:pPr>
      <w:r>
        <w:rPr>
          <w:rFonts w:ascii="Verdana" w:hAnsi="Verdana"/>
          <w:b/>
          <w:sz w:val="20"/>
          <w:szCs w:val="20"/>
        </w:rPr>
        <w:t xml:space="preserve">6. </w:t>
      </w:r>
      <w:r>
        <w:rPr>
          <w:rFonts w:ascii="Verdana" w:hAnsi="Verdana"/>
          <w:sz w:val="20"/>
          <w:szCs w:val="20"/>
        </w:rPr>
        <w:t>Короткий інструктаж Конкурсної комісії або визначених оцінювачів щодо конфіденційних кейсів і застосування методології оцінювання, якщо надійде відповідний запит.</w:t>
      </w:r>
    </w:p>
    <w:p w14:paraId="0D4A76A1" w14:textId="0BAA8BF9" w:rsidR="00E76C65" w:rsidRPr="00910B09" w:rsidRDefault="00A2181E" w:rsidP="00910B09">
      <w:pPr>
        <w:ind w:left="142"/>
        <w:jc w:val="both"/>
        <w:rPr>
          <w:rFonts w:ascii="Verdana" w:hAnsi="Verdana"/>
          <w:sz w:val="20"/>
          <w:szCs w:val="20"/>
        </w:rPr>
      </w:pPr>
      <w:r w:rsidRPr="00910B09">
        <w:rPr>
          <w:rFonts w:ascii="Verdana" w:hAnsi="Verdana"/>
          <w:b/>
          <w:sz w:val="20"/>
          <w:szCs w:val="20"/>
        </w:rPr>
        <w:t>5. Бюджет, строки та обсяг залучення</w:t>
      </w:r>
    </w:p>
    <w:p w14:paraId="7CB5BBED" w14:textId="7F15008F" w:rsidR="00E76C65" w:rsidRPr="00910B09" w:rsidRDefault="00A2181E" w:rsidP="00910B09">
      <w:pPr>
        <w:ind w:left="142"/>
        <w:jc w:val="both"/>
        <w:rPr>
          <w:rFonts w:ascii="Verdana" w:hAnsi="Verdana"/>
          <w:sz w:val="20"/>
          <w:szCs w:val="20"/>
        </w:rPr>
      </w:pPr>
      <w:r w:rsidRPr="00910B09">
        <w:rPr>
          <w:rFonts w:ascii="Verdana" w:hAnsi="Verdana"/>
          <w:sz w:val="20"/>
          <w:szCs w:val="20"/>
        </w:rPr>
        <w:t>Максимальний доступний бюджет: 8 000 євро.</w:t>
      </w:r>
    </w:p>
    <w:p w14:paraId="62F77133" w14:textId="393B8C2A" w:rsidR="00E76C65" w:rsidRPr="00910B09" w:rsidRDefault="00A2181E" w:rsidP="00910B09">
      <w:pPr>
        <w:ind w:left="142"/>
        <w:jc w:val="both"/>
        <w:rPr>
          <w:rFonts w:ascii="Verdana" w:hAnsi="Verdana"/>
          <w:sz w:val="20"/>
          <w:szCs w:val="20"/>
        </w:rPr>
      </w:pPr>
      <w:r w:rsidRPr="00910B09">
        <w:rPr>
          <w:rFonts w:ascii="Verdana" w:hAnsi="Verdana"/>
          <w:sz w:val="20"/>
          <w:szCs w:val="20"/>
        </w:rPr>
        <w:t>Виконання завдання розпочинається з дати підписання договору обома Сторонами. Усі чотири кейси та супровідні матеріали для оцінювання мають бути фіналізовані не пізніше 10 листопада 2026 року, якщо дата тестування, затверджена Конкурсною комісією, не вимагатиме пізнішого строку виконання.</w:t>
      </w:r>
    </w:p>
    <w:p w14:paraId="49BEA657" w14:textId="5A19349D" w:rsidR="00E76C65" w:rsidRPr="00910B09" w:rsidRDefault="00A2181E" w:rsidP="00910B09">
      <w:pPr>
        <w:ind w:left="142"/>
        <w:jc w:val="both"/>
        <w:rPr>
          <w:rFonts w:ascii="Verdana" w:hAnsi="Verdana"/>
          <w:sz w:val="20"/>
          <w:szCs w:val="20"/>
        </w:rPr>
      </w:pPr>
      <w:r w:rsidRPr="00910B09">
        <w:rPr>
          <w:rFonts w:ascii="Verdana" w:hAnsi="Verdana"/>
          <w:sz w:val="20"/>
          <w:szCs w:val="20"/>
        </w:rPr>
        <w:t>Очікуваний обсяг залучення становить до 15 робочих днів для кожного експерта. Якщо Конкурсна комісія вимагатиме істотних змін до затвердженого дизайну, додаткової підтримки з калібрування або інших завдань, які неможливо обґрунтовано виконати в межах цього обсягу, додатковий обсяг залучення має бути заздалегідь погоджений із замовником.</w:t>
      </w:r>
    </w:p>
    <w:p w14:paraId="5765F4B1" w14:textId="438817ED" w:rsidR="00FB61BF" w:rsidRPr="007A4916" w:rsidRDefault="00A2181E" w:rsidP="00910B09">
      <w:pPr>
        <w:ind w:left="142"/>
        <w:jc w:val="both"/>
        <w:rPr>
          <w:rFonts w:ascii="Verdana" w:hAnsi="Verdana"/>
          <w:sz w:val="20"/>
          <w:szCs w:val="20"/>
          <w:lang w:val="uk-UA"/>
        </w:rPr>
      </w:pPr>
      <w:r w:rsidRPr="007A4916">
        <w:rPr>
          <w:rFonts w:ascii="Verdana" w:hAnsi="Verdana"/>
          <w:sz w:val="20"/>
          <w:szCs w:val="20"/>
          <w:lang w:val="uk-UA"/>
        </w:rPr>
        <w:lastRenderedPageBreak/>
        <w:t>Завдання виконуватиметься онлайн та, якщо це буде необхідно для безпечного переда</w:t>
      </w:r>
      <w:r w:rsidR="007A4916" w:rsidRPr="007A4916">
        <w:rPr>
          <w:rFonts w:ascii="Verdana" w:hAnsi="Verdana"/>
          <w:sz w:val="20"/>
          <w:szCs w:val="20"/>
          <w:lang w:val="uk-UA"/>
        </w:rPr>
        <w:t>чі</w:t>
      </w:r>
      <w:r w:rsidRPr="007A4916">
        <w:rPr>
          <w:rFonts w:ascii="Verdana" w:hAnsi="Verdana"/>
          <w:sz w:val="20"/>
          <w:szCs w:val="20"/>
          <w:lang w:val="uk-UA"/>
        </w:rPr>
        <w:t xml:space="preserve"> матеріалів або підтримки тестування, у Києві.</w:t>
      </w:r>
    </w:p>
    <w:p w14:paraId="4D7B4851" w14:textId="1EE87890" w:rsidR="00E76C65" w:rsidRPr="00910B09" w:rsidRDefault="00A2181E" w:rsidP="00910B09">
      <w:pPr>
        <w:ind w:left="142"/>
        <w:jc w:val="both"/>
        <w:rPr>
          <w:rFonts w:ascii="Verdana" w:hAnsi="Verdana"/>
          <w:sz w:val="20"/>
          <w:szCs w:val="20"/>
        </w:rPr>
      </w:pPr>
      <w:r w:rsidRPr="00910B09">
        <w:rPr>
          <w:rFonts w:ascii="Verdana" w:hAnsi="Verdana"/>
          <w:b/>
          <w:sz w:val="20"/>
          <w:szCs w:val="20"/>
        </w:rPr>
        <w:t>6. Професійні вимоги</w:t>
      </w:r>
    </w:p>
    <w:p w14:paraId="3BE5C547" w14:textId="1BCD6EDC" w:rsidR="00FB61BF" w:rsidRPr="007A4916" w:rsidRDefault="00A2181E" w:rsidP="007A4916">
      <w:pPr>
        <w:keepLines/>
        <w:spacing w:after="60"/>
        <w:jc w:val="both"/>
        <w:rPr>
          <w:rFonts w:ascii="Verdana" w:hAnsi="Verdana"/>
          <w:sz w:val="20"/>
          <w:szCs w:val="20"/>
        </w:rPr>
      </w:pPr>
      <w:r w:rsidRPr="007A4916">
        <w:rPr>
          <w:rFonts w:ascii="Verdana" w:hAnsi="Verdana"/>
          <w:b/>
          <w:sz w:val="20"/>
          <w:szCs w:val="20"/>
        </w:rPr>
        <w:t>Вища освіта</w:t>
      </w:r>
      <w:r w:rsidRPr="007A4916">
        <w:rPr>
          <w:rFonts w:ascii="Verdana" w:hAnsi="Verdana"/>
          <w:sz w:val="20"/>
          <w:szCs w:val="20"/>
        </w:rPr>
        <w:t xml:space="preserve"> у галузі права.</w:t>
      </w:r>
    </w:p>
    <w:p w14:paraId="15AF3C08" w14:textId="12A9287A" w:rsidR="00E76C65" w:rsidRPr="007A4916" w:rsidRDefault="00A2181E" w:rsidP="007A4916">
      <w:pPr>
        <w:keepLines/>
        <w:spacing w:after="60"/>
        <w:jc w:val="both"/>
        <w:rPr>
          <w:rFonts w:ascii="Verdana" w:hAnsi="Verdana"/>
          <w:sz w:val="20"/>
          <w:szCs w:val="20"/>
        </w:rPr>
      </w:pPr>
      <w:r w:rsidRPr="007A4916">
        <w:rPr>
          <w:rFonts w:ascii="Verdana" w:hAnsi="Verdana"/>
          <w:b/>
          <w:sz w:val="20"/>
          <w:szCs w:val="20"/>
        </w:rPr>
        <w:t>Підтверджені експертні знання</w:t>
      </w:r>
      <w:r w:rsidRPr="007A4916">
        <w:rPr>
          <w:rFonts w:ascii="Verdana" w:hAnsi="Verdana"/>
          <w:sz w:val="20"/>
          <w:szCs w:val="20"/>
        </w:rPr>
        <w:t xml:space="preserve"> українського кримінального та кримінального процесуального права, а також правової бази, що регулює діяльність САП, НАБУ, Офісу Генерального прокурора та Вищого антикорупційного суду.</w:t>
      </w:r>
    </w:p>
    <w:p w14:paraId="7E9ECA81" w14:textId="4EF5D993" w:rsidR="00E76C65" w:rsidRPr="007A4916" w:rsidRDefault="00A2181E" w:rsidP="007A4916">
      <w:pPr>
        <w:keepLines/>
        <w:spacing w:after="60"/>
        <w:jc w:val="both"/>
        <w:rPr>
          <w:rFonts w:ascii="Verdana" w:hAnsi="Verdana"/>
          <w:sz w:val="20"/>
          <w:szCs w:val="20"/>
        </w:rPr>
      </w:pPr>
      <w:r w:rsidRPr="007A4916">
        <w:rPr>
          <w:rFonts w:ascii="Verdana" w:hAnsi="Verdana"/>
          <w:b/>
          <w:sz w:val="20"/>
          <w:szCs w:val="20"/>
        </w:rPr>
        <w:t>Підтверджене розуміння</w:t>
      </w:r>
      <w:r w:rsidRPr="007A4916">
        <w:rPr>
          <w:rFonts w:ascii="Verdana" w:hAnsi="Verdana"/>
          <w:sz w:val="20"/>
          <w:szCs w:val="20"/>
        </w:rPr>
        <w:t xml:space="preserve"> правових і професійних обов’язків керівництва прокуратури вищого рівня, зокрема прокурорської незалежності, ухвалення процесуальних рішень, визначення пріоритетів, внутрішньої координації, підзвітності та захисту конфіденційної інформації.</w:t>
      </w:r>
    </w:p>
    <w:p w14:paraId="1FD0269D" w14:textId="5EA6CC58" w:rsidR="00E76C65" w:rsidRPr="007A4916" w:rsidRDefault="00A2181E" w:rsidP="007A4916">
      <w:pPr>
        <w:keepLines/>
        <w:spacing w:after="60"/>
        <w:jc w:val="both"/>
        <w:rPr>
          <w:rFonts w:ascii="Verdana" w:hAnsi="Verdana"/>
          <w:sz w:val="20"/>
          <w:szCs w:val="20"/>
        </w:rPr>
      </w:pPr>
      <w:r w:rsidRPr="007A4916">
        <w:rPr>
          <w:rFonts w:ascii="Verdana" w:hAnsi="Verdana"/>
          <w:b/>
          <w:sz w:val="20"/>
          <w:szCs w:val="20"/>
        </w:rPr>
        <w:t>Досвід розроблення практичних юридичних завдань</w:t>
      </w:r>
      <w:r w:rsidRPr="007A4916">
        <w:rPr>
          <w:rFonts w:ascii="Verdana" w:hAnsi="Verdana"/>
          <w:sz w:val="20"/>
          <w:szCs w:val="20"/>
        </w:rPr>
        <w:t>, екзаменаційних матеріалів, модельних відповідей, критеріїв оцінювання або порівнюваних інструментів професійного відбору буде суттєвою перевагою.</w:t>
      </w:r>
    </w:p>
    <w:p w14:paraId="0F6628CF" w14:textId="185CE5B3" w:rsidR="00E76C65" w:rsidRPr="007A4916" w:rsidRDefault="00A2181E" w:rsidP="007A4916">
      <w:pPr>
        <w:keepLines/>
        <w:spacing w:after="60"/>
        <w:jc w:val="both"/>
        <w:rPr>
          <w:rFonts w:ascii="Verdana" w:hAnsi="Verdana"/>
          <w:sz w:val="20"/>
          <w:szCs w:val="20"/>
        </w:rPr>
      </w:pPr>
      <w:r w:rsidRPr="007A4916">
        <w:rPr>
          <w:rFonts w:ascii="Verdana" w:hAnsi="Verdana"/>
          <w:b/>
          <w:sz w:val="20"/>
          <w:szCs w:val="20"/>
        </w:rPr>
        <w:t>Відмінні аналітичні навички та навички підготовки юридичних документів</w:t>
      </w:r>
      <w:r w:rsidRPr="007A4916">
        <w:rPr>
          <w:rFonts w:ascii="Verdana" w:hAnsi="Verdana"/>
          <w:sz w:val="20"/>
          <w:szCs w:val="20"/>
        </w:rPr>
        <w:t>, вільне володіння українською мовою усно та письмово, а також достатнє володіння англійською мовою для координації та договірної звітності.</w:t>
      </w:r>
    </w:p>
    <w:p w14:paraId="4E994F1D" w14:textId="52D94DF2" w:rsidR="00FB61BF" w:rsidRPr="007A4916" w:rsidRDefault="00A2181E" w:rsidP="007A4916">
      <w:pPr>
        <w:keepLines/>
        <w:spacing w:after="60"/>
        <w:jc w:val="both"/>
        <w:rPr>
          <w:rFonts w:ascii="Verdana" w:hAnsi="Verdana"/>
          <w:sz w:val="20"/>
          <w:szCs w:val="20"/>
        </w:rPr>
      </w:pPr>
      <w:r w:rsidRPr="007A4916">
        <w:rPr>
          <w:rFonts w:ascii="Verdana" w:hAnsi="Verdana"/>
          <w:b/>
          <w:sz w:val="20"/>
          <w:szCs w:val="20"/>
        </w:rPr>
        <w:t>Відсутність реального або уявного конфлікту інтересів</w:t>
      </w:r>
      <w:r w:rsidRPr="007A4916">
        <w:rPr>
          <w:rFonts w:ascii="Verdana" w:hAnsi="Verdana"/>
          <w:sz w:val="20"/>
          <w:szCs w:val="20"/>
        </w:rPr>
        <w:t xml:space="preserve"> стосовно Конкурсної комісії, САП, кандидатів або питань, використаних як основа для кейсів.</w:t>
      </w:r>
    </w:p>
    <w:p w14:paraId="5283399B" w14:textId="45D9C64D" w:rsidR="00E76C65" w:rsidRPr="00910B09" w:rsidRDefault="00A2181E" w:rsidP="00910B09">
      <w:pPr>
        <w:ind w:left="142"/>
        <w:jc w:val="both"/>
        <w:rPr>
          <w:rFonts w:ascii="Verdana" w:hAnsi="Verdana"/>
          <w:sz w:val="20"/>
          <w:szCs w:val="20"/>
        </w:rPr>
      </w:pPr>
      <w:r w:rsidRPr="00910B09">
        <w:rPr>
          <w:rFonts w:ascii="Verdana" w:hAnsi="Verdana"/>
          <w:b/>
          <w:sz w:val="20"/>
          <w:szCs w:val="20"/>
        </w:rPr>
        <w:t>7. Звітність та управління</w:t>
      </w:r>
    </w:p>
    <w:p w14:paraId="0F45C58E"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Експерти звітуватимуть перед EUACI з договірних питань та здійснюватимуть операційну координацію із Секретаріатом Конкурсної комісії. Експерти мають брати участь в онлайн-координаційних зустрічах у межах обґрунтованої необхідності та невідкладно повідомляти Секретаріат про будь-які ризики для графіка, конфіденційності, рівного ставлення до кандидатів або дійсності оцінювання.</w:t>
      </w:r>
    </w:p>
    <w:p w14:paraId="02B88EB0"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Змістовні інструкції, розгляд і затвердження практичних кейсів та методології оцінювання належать до повноважень Конкурсної комісії. EUACI перевірятиме виконання договірних завдань на підставі адміністративного підтвердження від Секретаріату та, за потреби, матеріалів, які стануть доступними після їх дозволеного використання.</w:t>
      </w:r>
    </w:p>
    <w:p w14:paraId="7D46AEF4"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Усі матеріали кейсів мають передаватися безпосередньо та у безпечний спосіб Конкурсній комісії або керівнику її Секретаріату. Три конфіденційні кейси передаються у запечатаному вигляді або в інший безпечний спосіб, затверджений Комісією, та не можуть розкриватися до дня тестування.</w:t>
      </w:r>
    </w:p>
    <w:p w14:paraId="2DEE481A" w14:textId="77777777" w:rsidR="00FB61BF" w:rsidRPr="00910B09" w:rsidRDefault="00A2181E" w:rsidP="00910B09">
      <w:pPr>
        <w:ind w:left="142"/>
        <w:jc w:val="both"/>
        <w:rPr>
          <w:rFonts w:ascii="Verdana" w:hAnsi="Verdana"/>
          <w:sz w:val="20"/>
          <w:szCs w:val="20"/>
        </w:rPr>
      </w:pPr>
      <w:r w:rsidRPr="00910B09">
        <w:rPr>
          <w:rFonts w:ascii="Verdana" w:hAnsi="Verdana"/>
          <w:sz w:val="20"/>
          <w:szCs w:val="20"/>
        </w:rPr>
        <w:t>Підписуючи договір, Експерти погоджуються зберігати у суворій таємниці всю інформацію та документи, розкриті, виявлені або підготовлені у зв’язку з виконанням завдання; використовувати їх виключно для виконання договору; не розкривати їх неуповноваженим особам; та не зберігати копії понад дозволений строк зберігання.</w:t>
      </w:r>
    </w:p>
    <w:p w14:paraId="35D385F0" w14:textId="67DD4007" w:rsidR="00E76C65" w:rsidRPr="00910B09" w:rsidRDefault="00A2181E" w:rsidP="00910B09">
      <w:pPr>
        <w:ind w:left="142"/>
        <w:jc w:val="both"/>
        <w:rPr>
          <w:rFonts w:ascii="Verdana" w:hAnsi="Verdana"/>
          <w:sz w:val="20"/>
          <w:szCs w:val="20"/>
        </w:rPr>
      </w:pPr>
      <w:r w:rsidRPr="00910B09">
        <w:rPr>
          <w:rFonts w:ascii="Verdana" w:hAnsi="Verdana"/>
          <w:b/>
          <w:sz w:val="20"/>
          <w:szCs w:val="20"/>
        </w:rPr>
        <w:t>8. Порядок подання пропозицій</w:t>
      </w:r>
    </w:p>
    <w:p w14:paraId="735A8127" w14:textId="5F7AED3E" w:rsidR="00565494" w:rsidRPr="00565494" w:rsidRDefault="00A2181E" w:rsidP="00910B09">
      <w:pPr>
        <w:ind w:left="142"/>
        <w:rPr>
          <w:rFonts w:ascii="Verdana" w:hAnsi="Verdana"/>
          <w:sz w:val="20"/>
          <w:szCs w:val="20"/>
          <w:lang w:val="uk-UA"/>
        </w:rPr>
      </w:pPr>
      <w:r w:rsidRPr="00565494">
        <w:rPr>
          <w:rFonts w:ascii="Verdana" w:hAnsi="Verdana"/>
          <w:sz w:val="20"/>
          <w:szCs w:val="20"/>
          <w:lang w:val="uk-UA"/>
        </w:rPr>
        <w:t>Кінцевий строк подання пропозицій — до кінця дня 2</w:t>
      </w:r>
      <w:r w:rsidR="00565494" w:rsidRPr="00565494">
        <w:rPr>
          <w:rFonts w:ascii="Verdana" w:hAnsi="Verdana"/>
          <w:sz w:val="20"/>
          <w:szCs w:val="20"/>
          <w:lang w:val="uk-UA"/>
        </w:rPr>
        <w:t>3</w:t>
      </w:r>
      <w:r w:rsidRPr="00565494">
        <w:rPr>
          <w:rFonts w:ascii="Verdana" w:hAnsi="Verdana"/>
          <w:sz w:val="20"/>
          <w:szCs w:val="20"/>
          <w:lang w:val="uk-UA"/>
        </w:rPr>
        <w:t xml:space="preserve"> вересня 2026 року. </w:t>
      </w:r>
    </w:p>
    <w:p w14:paraId="036311A2" w14:textId="6543C146" w:rsidR="00FB61BF" w:rsidRPr="00565494" w:rsidRDefault="00A2181E" w:rsidP="00910B09">
      <w:pPr>
        <w:ind w:left="142"/>
        <w:rPr>
          <w:rFonts w:ascii="Verdana" w:hAnsi="Verdana"/>
          <w:sz w:val="20"/>
          <w:szCs w:val="20"/>
          <w:lang w:val="uk-UA"/>
        </w:rPr>
      </w:pPr>
      <w:r w:rsidRPr="00565494">
        <w:rPr>
          <w:rFonts w:ascii="Verdana" w:hAnsi="Verdana"/>
          <w:sz w:val="20"/>
          <w:szCs w:val="20"/>
          <w:lang w:val="uk-UA"/>
        </w:rPr>
        <w:t>Експерти запрошуються подаватися командою з двох осіб або індивідуально.</w:t>
      </w:r>
    </w:p>
    <w:p w14:paraId="4A918914" w14:textId="364523C1" w:rsidR="00FB61BF" w:rsidRPr="00565494" w:rsidRDefault="00A2181E" w:rsidP="00910B09">
      <w:pPr>
        <w:ind w:left="142"/>
        <w:rPr>
          <w:rFonts w:ascii="Verdana" w:hAnsi="Verdana"/>
          <w:sz w:val="20"/>
          <w:szCs w:val="20"/>
          <w:lang w:val="uk-UA"/>
        </w:rPr>
      </w:pPr>
      <w:r w:rsidRPr="00565494">
        <w:rPr>
          <w:rFonts w:ascii="Verdana" w:hAnsi="Verdana"/>
          <w:sz w:val="20"/>
          <w:szCs w:val="20"/>
          <w:lang w:val="uk-UA"/>
        </w:rPr>
        <w:t>За</w:t>
      </w:r>
      <w:r w:rsidR="00565494">
        <w:rPr>
          <w:rFonts w:ascii="Verdana" w:hAnsi="Verdana"/>
          <w:sz w:val="20"/>
          <w:szCs w:val="20"/>
          <w:lang w:val="uk-UA"/>
        </w:rPr>
        <w:t xml:space="preserve">цікавлені </w:t>
      </w:r>
      <w:r w:rsidRPr="00565494">
        <w:rPr>
          <w:rFonts w:ascii="Verdana" w:hAnsi="Verdana"/>
          <w:sz w:val="20"/>
          <w:szCs w:val="20"/>
          <w:lang w:val="uk-UA"/>
        </w:rPr>
        <w:t>заявники мають подати:</w:t>
      </w:r>
    </w:p>
    <w:p w14:paraId="752D35D7" w14:textId="77777777" w:rsidR="00FB61BF" w:rsidRPr="00910B09" w:rsidRDefault="00A2181E" w:rsidP="00910B09">
      <w:pPr>
        <w:ind w:left="142"/>
        <w:rPr>
          <w:rFonts w:ascii="Verdana" w:hAnsi="Verdana"/>
          <w:sz w:val="20"/>
          <w:szCs w:val="20"/>
        </w:rPr>
      </w:pPr>
      <w:r>
        <w:rPr>
          <w:rFonts w:ascii="Verdana" w:hAnsi="Verdana"/>
          <w:b/>
          <w:sz w:val="20"/>
          <w:szCs w:val="20"/>
        </w:rPr>
        <w:t xml:space="preserve">1. </w:t>
      </w:r>
      <w:r>
        <w:rPr>
          <w:rFonts w:ascii="Verdana" w:hAnsi="Verdana"/>
          <w:sz w:val="20"/>
          <w:szCs w:val="20"/>
        </w:rPr>
        <w:t>Резюме обсягом не більше чотирьох сторінок; та</w:t>
      </w:r>
    </w:p>
    <w:p w14:paraId="4DB2ADF0" w14:textId="31FDEB00" w:rsidR="00E76C65" w:rsidRPr="00910B09" w:rsidRDefault="00A2181E" w:rsidP="00910B09">
      <w:pPr>
        <w:ind w:left="142"/>
        <w:rPr>
          <w:rFonts w:ascii="Verdana" w:hAnsi="Verdana"/>
          <w:sz w:val="20"/>
          <w:szCs w:val="20"/>
        </w:rPr>
      </w:pPr>
      <w:r>
        <w:rPr>
          <w:rFonts w:ascii="Verdana" w:hAnsi="Verdana"/>
          <w:b/>
          <w:sz w:val="20"/>
          <w:szCs w:val="20"/>
        </w:rPr>
        <w:t xml:space="preserve">2. </w:t>
      </w:r>
      <w:r>
        <w:rPr>
          <w:rFonts w:ascii="Verdana" w:hAnsi="Verdana"/>
          <w:sz w:val="20"/>
          <w:szCs w:val="20"/>
        </w:rPr>
        <w:t>Денну ставку та загальний бюджет завдання.</w:t>
      </w:r>
    </w:p>
    <w:p w14:paraId="5AC7BEC8" w14:textId="77777777" w:rsidR="00E76C65" w:rsidRPr="00910B09" w:rsidRDefault="00A2181E" w:rsidP="00910B09">
      <w:pPr>
        <w:ind w:left="142"/>
        <w:rPr>
          <w:rFonts w:ascii="Verdana" w:hAnsi="Verdana"/>
          <w:sz w:val="20"/>
          <w:szCs w:val="20"/>
        </w:rPr>
      </w:pPr>
      <w:r>
        <w:rPr>
          <w:rFonts w:ascii="Verdana" w:hAnsi="Verdana"/>
          <w:sz w:val="20"/>
        </w:rPr>
        <w:t xml:space="preserve">Пропозиції необхідно надсилати на адресу </w:t>
      </w:r>
      <w:hyperlink r:id="rId7">
        <w:r>
          <w:rPr>
            <w:rFonts w:ascii="Verdana" w:hAnsi="Verdana"/>
            <w:color w:val="0563C1"/>
            <w:sz w:val="20"/>
            <w:szCs w:val="20"/>
            <w:u w:val="single"/>
          </w:rPr>
          <w:t>EUACI@um.dk</w:t>
        </w:r>
      </w:hyperlink>
      <w:r>
        <w:rPr>
          <w:rFonts w:ascii="Verdana" w:hAnsi="Verdana"/>
          <w:sz w:val="20"/>
        </w:rPr>
        <w:t xml:space="preserve"> із копією на </w:t>
      </w:r>
      <w:hyperlink r:id="rId8">
        <w:r>
          <w:rPr>
            <w:rFonts w:ascii="Verdana" w:hAnsi="Verdana"/>
            <w:color w:val="0563C1"/>
            <w:sz w:val="20"/>
            <w:szCs w:val="20"/>
            <w:u w:val="single"/>
          </w:rPr>
          <w:t>olesyd@um.dk</w:t>
        </w:r>
      </w:hyperlink>
      <w:r>
        <w:rPr>
          <w:rFonts w:ascii="Verdana" w:hAnsi="Verdana"/>
          <w:sz w:val="20"/>
        </w:rPr>
        <w:t>, зазначивши тему листа: «Практичні юридичні кейси для керівництва САП». Мова конкурсної пропозиції — англійська.</w:t>
      </w:r>
    </w:p>
    <w:p w14:paraId="3BEEDC64" w14:textId="215C9078" w:rsidR="00E76C65" w:rsidRPr="00910B09" w:rsidRDefault="00A2181E" w:rsidP="00910B09">
      <w:pPr>
        <w:ind w:left="142"/>
        <w:rPr>
          <w:rFonts w:ascii="Verdana" w:hAnsi="Verdana"/>
          <w:sz w:val="20"/>
          <w:szCs w:val="20"/>
        </w:rPr>
      </w:pPr>
      <w:r>
        <w:rPr>
          <w:rFonts w:ascii="Verdana" w:hAnsi="Verdana"/>
          <w:sz w:val="20"/>
        </w:rPr>
        <w:lastRenderedPageBreak/>
        <w:t xml:space="preserve">Запитання щодо роз’яснень необхідно надсилати на адресу </w:t>
      </w:r>
      <w:hyperlink r:id="rId9">
        <w:r>
          <w:rPr>
            <w:rFonts w:ascii="Verdana" w:hAnsi="Verdana"/>
            <w:color w:val="0563C1"/>
            <w:sz w:val="20"/>
            <w:szCs w:val="20"/>
            <w:u w:val="single"/>
          </w:rPr>
          <w:t>olesyd@um.dk</w:t>
        </w:r>
      </w:hyperlink>
      <w:r>
        <w:rPr>
          <w:rFonts w:ascii="Verdana" w:hAnsi="Verdana"/>
          <w:sz w:val="20"/>
        </w:rPr>
        <w:t xml:space="preserve"> не пізніше 17:00 за київським часом 21 вересня 2026 року.</w:t>
      </w:r>
    </w:p>
    <w:p w14:paraId="2A1F5E65" w14:textId="77777777" w:rsidR="00FB61BF" w:rsidRPr="00910B09" w:rsidRDefault="00A2181E" w:rsidP="00910B09">
      <w:pPr>
        <w:ind w:left="142"/>
        <w:rPr>
          <w:rFonts w:ascii="Verdana" w:hAnsi="Verdana"/>
          <w:sz w:val="20"/>
          <w:szCs w:val="20"/>
        </w:rPr>
      </w:pPr>
      <w:r w:rsidRPr="00910B09">
        <w:rPr>
          <w:rFonts w:ascii="Verdana" w:hAnsi="Verdana"/>
          <w:sz w:val="20"/>
          <w:szCs w:val="20"/>
        </w:rPr>
        <w:t>EUACI залишає за собою право запитувати роз’яснення, перевіряти рекомендації, відхиляти будь-які або всі пропозиції, скасовувати закупівлю чи погоджувати обґрунтовані зміни до обсягу робіт без збільшення максимального бюджету. Пропозиції, подані із запізненням або з істотними недоліками щодо комплектності, можуть бути відхилені.</w:t>
      </w:r>
    </w:p>
    <w:p w14:paraId="4F9397EB" w14:textId="734894FD" w:rsidR="00FB61BF" w:rsidRPr="00910B09" w:rsidRDefault="00FB61BF" w:rsidP="00910B09">
      <w:pPr>
        <w:ind w:left="142"/>
        <w:rPr>
          <w:rFonts w:ascii="Verdana" w:hAnsi="Verdana"/>
          <w:sz w:val="20"/>
          <w:szCs w:val="20"/>
        </w:rPr>
      </w:pPr>
      <w:r w:rsidRPr="00910B09">
        <w:rPr>
          <w:rFonts w:ascii="Verdana" w:hAnsi="Verdana"/>
          <w:sz w:val="20"/>
          <w:szCs w:val="20"/>
        </w:rPr>
        <w:t>Мова конкурсної пропозиції — англійська.</w:t>
      </w:r>
    </w:p>
    <w:p w14:paraId="2240CDE8" w14:textId="284CECA6" w:rsidR="00E76C65" w:rsidRPr="00910B09" w:rsidRDefault="00A2181E" w:rsidP="00910B09">
      <w:pPr>
        <w:ind w:left="142"/>
        <w:rPr>
          <w:rFonts w:ascii="Verdana" w:hAnsi="Verdana"/>
          <w:sz w:val="20"/>
          <w:szCs w:val="20"/>
        </w:rPr>
      </w:pPr>
      <w:r w:rsidRPr="00910B09">
        <w:rPr>
          <w:rFonts w:ascii="Verdana" w:hAnsi="Verdana"/>
          <w:b/>
          <w:sz w:val="20"/>
          <w:szCs w:val="20"/>
        </w:rPr>
        <w:t>9. Критерії оцінювання</w:t>
      </w:r>
    </w:p>
    <w:tbl>
      <w:tblPr>
        <w:tblW w:w="0" w:type="auto"/>
        <w:jc w:val="center"/>
        <w:tblLayout w:type="fixed"/>
        <w:tblLook w:val="04A0" w:firstRow="1" w:lastRow="0" w:firstColumn="1" w:lastColumn="0" w:noHBand="0" w:noVBand="1"/>
      </w:tblPr>
      <w:tblGrid>
        <w:gridCol w:w="792"/>
        <w:gridCol w:w="7776"/>
        <w:gridCol w:w="1584"/>
      </w:tblGrid>
      <w:tr w:rsidR="00E76C65" w:rsidRPr="00910B09" w14:paraId="443F64AE" w14:textId="77777777">
        <w:trPr>
          <w:jc w:val="center"/>
        </w:trPr>
        <w:tc>
          <w:tcPr>
            <w:tcW w:w="792" w:type="dxa"/>
            <w:tcBorders>
              <w:top w:val="single" w:sz="7" w:space="0" w:color="D9D9D9"/>
              <w:left w:val="single" w:sz="7" w:space="0" w:color="D9D9D9"/>
              <w:bottom w:val="single" w:sz="7" w:space="0" w:color="D9D9D9"/>
              <w:right w:val="single" w:sz="7" w:space="0" w:color="D9D9D9"/>
            </w:tcBorders>
            <w:shd w:val="clear" w:color="auto" w:fill="D9EAF7"/>
            <w:tcMar>
              <w:top w:w="90" w:type="dxa"/>
              <w:left w:w="110" w:type="dxa"/>
              <w:bottom w:w="90" w:type="dxa"/>
              <w:right w:w="110" w:type="dxa"/>
            </w:tcMar>
            <w:vAlign w:val="center"/>
          </w:tcPr>
          <w:p w14:paraId="2B27F8A0"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b/>
                <w:sz w:val="20"/>
                <w:szCs w:val="20"/>
              </w:rPr>
              <w:t>№</w:t>
            </w:r>
          </w:p>
        </w:tc>
        <w:tc>
          <w:tcPr>
            <w:tcW w:w="7776" w:type="dxa"/>
            <w:tcBorders>
              <w:top w:val="single" w:sz="7" w:space="0" w:color="D9D9D9"/>
              <w:left w:val="single" w:sz="7" w:space="0" w:color="D9D9D9"/>
              <w:bottom w:val="single" w:sz="7" w:space="0" w:color="D9D9D9"/>
              <w:right w:val="single" w:sz="7" w:space="0" w:color="D9D9D9"/>
            </w:tcBorders>
            <w:shd w:val="clear" w:color="auto" w:fill="D9EAF7"/>
            <w:tcMar>
              <w:top w:w="90" w:type="dxa"/>
              <w:left w:w="110" w:type="dxa"/>
              <w:bottom w:w="90" w:type="dxa"/>
              <w:right w:w="110" w:type="dxa"/>
            </w:tcMar>
            <w:vAlign w:val="center"/>
          </w:tcPr>
          <w:p w14:paraId="3779E692"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b/>
                <w:sz w:val="20"/>
                <w:szCs w:val="20"/>
              </w:rPr>
              <w:t>Критерій</w:t>
            </w:r>
          </w:p>
        </w:tc>
        <w:tc>
          <w:tcPr>
            <w:tcW w:w="1584" w:type="dxa"/>
            <w:tcBorders>
              <w:top w:val="single" w:sz="7" w:space="0" w:color="D9D9D9"/>
              <w:left w:val="single" w:sz="7" w:space="0" w:color="D9D9D9"/>
              <w:bottom w:val="single" w:sz="7" w:space="0" w:color="D9D9D9"/>
              <w:right w:val="single" w:sz="7" w:space="0" w:color="D9D9D9"/>
            </w:tcBorders>
            <w:shd w:val="clear" w:color="auto" w:fill="D9EAF7"/>
            <w:tcMar>
              <w:top w:w="90" w:type="dxa"/>
              <w:left w:w="110" w:type="dxa"/>
              <w:bottom w:w="90" w:type="dxa"/>
              <w:right w:w="110" w:type="dxa"/>
            </w:tcMar>
            <w:vAlign w:val="center"/>
          </w:tcPr>
          <w:p w14:paraId="5A8F3DB6"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b/>
                <w:sz w:val="20"/>
                <w:szCs w:val="20"/>
              </w:rPr>
              <w:t>Вага</w:t>
            </w:r>
          </w:p>
        </w:tc>
      </w:tr>
      <w:tr w:rsidR="00E76C65" w:rsidRPr="00910B09" w14:paraId="73F0B83E" w14:textId="77777777">
        <w:trPr>
          <w:jc w:val="center"/>
        </w:trPr>
        <w:tc>
          <w:tcPr>
            <w:tcW w:w="792" w:type="dxa"/>
            <w:tcBorders>
              <w:top w:val="single" w:sz="7" w:space="0" w:color="D9D9D9"/>
              <w:left w:val="single" w:sz="7" w:space="0" w:color="D9D9D9"/>
              <w:bottom w:val="single" w:sz="7" w:space="0" w:color="D9D9D9"/>
              <w:right w:val="single" w:sz="7" w:space="0" w:color="D9D9D9"/>
            </w:tcBorders>
            <w:shd w:val="clear" w:color="auto" w:fill="F5F9FC"/>
            <w:tcMar>
              <w:top w:w="90" w:type="dxa"/>
              <w:left w:w="110" w:type="dxa"/>
              <w:bottom w:w="90" w:type="dxa"/>
              <w:right w:w="110" w:type="dxa"/>
            </w:tcMar>
            <w:vAlign w:val="center"/>
          </w:tcPr>
          <w:p w14:paraId="4F0640D3"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1</w:t>
            </w:r>
          </w:p>
        </w:tc>
        <w:tc>
          <w:tcPr>
            <w:tcW w:w="7776" w:type="dxa"/>
            <w:tcBorders>
              <w:top w:val="single" w:sz="7" w:space="0" w:color="D9D9D9"/>
              <w:left w:val="single" w:sz="7" w:space="0" w:color="D9D9D9"/>
              <w:bottom w:val="single" w:sz="7" w:space="0" w:color="D9D9D9"/>
              <w:right w:val="single" w:sz="7" w:space="0" w:color="D9D9D9"/>
            </w:tcBorders>
            <w:shd w:val="clear" w:color="auto" w:fill="F5F9FC"/>
            <w:tcMar>
              <w:top w:w="90" w:type="dxa"/>
              <w:left w:w="110" w:type="dxa"/>
              <w:bottom w:w="90" w:type="dxa"/>
              <w:right w:w="110" w:type="dxa"/>
            </w:tcMar>
            <w:vAlign w:val="center"/>
          </w:tcPr>
          <w:p w14:paraId="3DF1C1C8" w14:textId="77777777" w:rsidR="00E76C65" w:rsidRPr="00910B09" w:rsidRDefault="00A2181E" w:rsidP="00910B09">
            <w:pPr>
              <w:spacing w:after="0" w:line="240" w:lineRule="auto"/>
              <w:ind w:left="142"/>
              <w:rPr>
                <w:rFonts w:ascii="Verdana" w:hAnsi="Verdana"/>
                <w:sz w:val="20"/>
                <w:szCs w:val="20"/>
              </w:rPr>
            </w:pPr>
            <w:r w:rsidRPr="00910B09">
              <w:rPr>
                <w:rFonts w:ascii="Verdana" w:hAnsi="Verdana"/>
                <w:b/>
                <w:sz w:val="20"/>
                <w:szCs w:val="20"/>
              </w:rPr>
              <w:t>Релевантний професійний досвід і кваліфікація, підтверджені резюме</w:t>
            </w:r>
          </w:p>
        </w:tc>
        <w:tc>
          <w:tcPr>
            <w:tcW w:w="1584" w:type="dxa"/>
            <w:tcBorders>
              <w:top w:val="single" w:sz="7" w:space="0" w:color="D9D9D9"/>
              <w:left w:val="single" w:sz="7" w:space="0" w:color="D9D9D9"/>
              <w:bottom w:val="single" w:sz="7" w:space="0" w:color="D9D9D9"/>
              <w:right w:val="single" w:sz="7" w:space="0" w:color="D9D9D9"/>
            </w:tcBorders>
            <w:shd w:val="clear" w:color="auto" w:fill="F5F9FC"/>
            <w:tcMar>
              <w:top w:w="90" w:type="dxa"/>
              <w:left w:w="110" w:type="dxa"/>
              <w:bottom w:w="90" w:type="dxa"/>
              <w:right w:w="110" w:type="dxa"/>
            </w:tcMar>
            <w:vAlign w:val="center"/>
          </w:tcPr>
          <w:p w14:paraId="7EA3FB68"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70%</w:t>
            </w:r>
          </w:p>
        </w:tc>
      </w:tr>
      <w:tr w:rsidR="00E76C65" w:rsidRPr="00910B09" w14:paraId="6F6D19AA" w14:textId="77777777">
        <w:trPr>
          <w:jc w:val="center"/>
        </w:trPr>
        <w:tc>
          <w:tcPr>
            <w:tcW w:w="792" w:type="dxa"/>
            <w:tcBorders>
              <w:top w:val="single" w:sz="7" w:space="0" w:color="D9D9D9"/>
              <w:left w:val="single" w:sz="7" w:space="0" w:color="D9D9D9"/>
              <w:bottom w:val="single" w:sz="7" w:space="0" w:color="D9D9D9"/>
              <w:right w:val="single" w:sz="7" w:space="0" w:color="D9D9D9"/>
            </w:tcBorders>
            <w:shd w:val="clear" w:color="auto" w:fill="FFFFFF"/>
            <w:tcMar>
              <w:top w:w="90" w:type="dxa"/>
              <w:left w:w="110" w:type="dxa"/>
              <w:bottom w:w="90" w:type="dxa"/>
              <w:right w:w="110" w:type="dxa"/>
            </w:tcMar>
            <w:vAlign w:val="center"/>
          </w:tcPr>
          <w:p w14:paraId="74D91F47"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2</w:t>
            </w:r>
          </w:p>
        </w:tc>
        <w:tc>
          <w:tcPr>
            <w:tcW w:w="7776" w:type="dxa"/>
            <w:tcBorders>
              <w:top w:val="single" w:sz="7" w:space="0" w:color="D9D9D9"/>
              <w:left w:val="single" w:sz="7" w:space="0" w:color="D9D9D9"/>
              <w:bottom w:val="single" w:sz="7" w:space="0" w:color="D9D9D9"/>
              <w:right w:val="single" w:sz="7" w:space="0" w:color="D9D9D9"/>
            </w:tcBorders>
            <w:shd w:val="clear" w:color="auto" w:fill="FFFFFF"/>
            <w:tcMar>
              <w:top w:w="90" w:type="dxa"/>
              <w:left w:w="110" w:type="dxa"/>
              <w:bottom w:w="90" w:type="dxa"/>
              <w:right w:w="110" w:type="dxa"/>
            </w:tcMar>
            <w:vAlign w:val="center"/>
          </w:tcPr>
          <w:p w14:paraId="4891D144" w14:textId="77777777" w:rsidR="00E76C65" w:rsidRPr="00910B09" w:rsidRDefault="00A2181E" w:rsidP="00910B09">
            <w:pPr>
              <w:spacing w:after="0" w:line="240" w:lineRule="auto"/>
              <w:ind w:left="142"/>
              <w:rPr>
                <w:rFonts w:ascii="Verdana" w:hAnsi="Verdana"/>
                <w:sz w:val="20"/>
                <w:szCs w:val="20"/>
              </w:rPr>
            </w:pPr>
            <w:r w:rsidRPr="00910B09">
              <w:rPr>
                <w:rFonts w:ascii="Verdana" w:hAnsi="Verdana"/>
                <w:b/>
                <w:sz w:val="20"/>
                <w:szCs w:val="20"/>
              </w:rPr>
              <w:t>Бюджет і фінансова пропозиція</w:t>
            </w:r>
          </w:p>
        </w:tc>
        <w:tc>
          <w:tcPr>
            <w:tcW w:w="1584" w:type="dxa"/>
            <w:tcBorders>
              <w:top w:val="single" w:sz="7" w:space="0" w:color="D9D9D9"/>
              <w:left w:val="single" w:sz="7" w:space="0" w:color="D9D9D9"/>
              <w:bottom w:val="single" w:sz="7" w:space="0" w:color="D9D9D9"/>
              <w:right w:val="single" w:sz="7" w:space="0" w:color="D9D9D9"/>
            </w:tcBorders>
            <w:shd w:val="clear" w:color="auto" w:fill="FFFFFF"/>
            <w:tcMar>
              <w:top w:w="90" w:type="dxa"/>
              <w:left w:w="110" w:type="dxa"/>
              <w:bottom w:w="90" w:type="dxa"/>
              <w:right w:w="110" w:type="dxa"/>
            </w:tcMar>
            <w:vAlign w:val="center"/>
          </w:tcPr>
          <w:p w14:paraId="1D15FBE4"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30%</w:t>
            </w:r>
          </w:p>
        </w:tc>
      </w:tr>
    </w:tbl>
    <w:p w14:paraId="477E85AB" w14:textId="77777777" w:rsidR="00FC4814" w:rsidRPr="00910B09" w:rsidRDefault="00FC4814" w:rsidP="00910B09">
      <w:pPr>
        <w:ind w:left="142"/>
        <w:rPr>
          <w:rFonts w:ascii="Verdana" w:hAnsi="Verdana"/>
          <w:sz w:val="20"/>
          <w:szCs w:val="20"/>
        </w:rPr>
      </w:pPr>
    </w:p>
    <w:sectPr w:rsidR="00FC4814" w:rsidRPr="00910B09" w:rsidSect="00F94D68">
      <w:headerReference w:type="even" r:id="rId10"/>
      <w:headerReference w:type="default" r:id="rId11"/>
      <w:pgSz w:w="12240" w:h="15840"/>
      <w:pgMar w:top="979" w:right="1037" w:bottom="893" w:left="1037" w:header="36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4D77B4" w14:textId="77777777" w:rsidR="001D3284" w:rsidRDefault="001D3284" w:rsidP="00512ABE">
      <w:pPr>
        <w:spacing w:after="0" w:line="240" w:lineRule="auto"/>
      </w:pPr>
      <w:r>
        <w:separator/>
      </w:r>
    </w:p>
  </w:endnote>
  <w:endnote w:type="continuationSeparator" w:id="0">
    <w:p w14:paraId="49564D13" w14:textId="77777777" w:rsidR="001D3284" w:rsidRDefault="001D3284" w:rsidP="0051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F09C71" w14:textId="77777777" w:rsidR="001D3284" w:rsidRDefault="001D3284" w:rsidP="00512ABE">
      <w:pPr>
        <w:spacing w:after="0" w:line="240" w:lineRule="auto"/>
      </w:pPr>
      <w:r>
        <w:separator/>
      </w:r>
    </w:p>
  </w:footnote>
  <w:footnote w:type="continuationSeparator" w:id="0">
    <w:p w14:paraId="3D7166E9" w14:textId="77777777" w:rsidR="001D3284" w:rsidRDefault="001D3284" w:rsidP="00512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60DF9B" w14:textId="77777777" w:rsidR="00E76C65" w:rsidRDefault="00A2181E">
    <w:pPr>
      <w:spacing w:after="80"/>
      <w:jc w:val="center"/>
    </w:pPr>
    <w:r>
      <w:rPr>
        <w:noProof/>
      </w:rPr>
      <w:drawing>
        <wp:inline distT="0" distB="0" distL="0" distR="0" wp14:anchorId="0B835D29" wp14:editId="4999A318">
          <wp:extent cx="5989320" cy="624022"/>
          <wp:effectExtent l="0" t="0" r="0" b="0"/>
          <wp:docPr id="1253011796" name="Picture 125301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aci_header_trimmed.png"/>
                  <pic:cNvPicPr/>
                </pic:nvPicPr>
                <pic:blipFill>
                  <a:blip r:embed="rId1"/>
                  <a:stretch>
                    <a:fillRect/>
                  </a:stretch>
                </pic:blipFill>
                <pic:spPr>
                  <a:xfrm>
                    <a:off x="0" y="0"/>
                    <a:ext cx="5989320" cy="6240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9923DA" w14:textId="77777777" w:rsidR="00E76C65" w:rsidRDefault="00A2181E">
    <w:pPr>
      <w:spacing w:after="80"/>
      <w:jc w:val="center"/>
    </w:pPr>
    <w:r>
      <w:rPr>
        <w:noProof/>
      </w:rPr>
      <w:drawing>
        <wp:inline distT="0" distB="0" distL="0" distR="0" wp14:anchorId="2612A836" wp14:editId="34CBE6F3">
          <wp:extent cx="5989320" cy="6240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aci_header_trimmed.png"/>
                  <pic:cNvPicPr/>
                </pic:nvPicPr>
                <pic:blipFill>
                  <a:blip r:embed="rId1"/>
                  <a:stretch>
                    <a:fillRect/>
                  </a:stretch>
                </pic:blipFill>
                <pic:spPr>
                  <a:xfrm>
                    <a:off x="0" y="0"/>
                    <a:ext cx="5989320" cy="6240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84A4C"/>
    <w:multiLevelType w:val="hybridMultilevel"/>
    <w:tmpl w:val="372E47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DB6469"/>
    <w:multiLevelType w:val="hybridMultilevel"/>
    <w:tmpl w:val="8D1CE670"/>
    <w:lvl w:ilvl="0" w:tplc="E2080AE0">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D7341"/>
    <w:multiLevelType w:val="hybridMultilevel"/>
    <w:tmpl w:val="A492192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738C4"/>
    <w:multiLevelType w:val="hybridMultilevel"/>
    <w:tmpl w:val="13E6B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F2521"/>
    <w:multiLevelType w:val="hybridMultilevel"/>
    <w:tmpl w:val="39222766"/>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D324A"/>
    <w:multiLevelType w:val="hybridMultilevel"/>
    <w:tmpl w:val="879629DE"/>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C97D06"/>
    <w:multiLevelType w:val="hybridMultilevel"/>
    <w:tmpl w:val="879629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86E70"/>
    <w:multiLevelType w:val="hybridMultilevel"/>
    <w:tmpl w:val="2D3A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B66AA"/>
    <w:multiLevelType w:val="hybridMultilevel"/>
    <w:tmpl w:val="9B06BFF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47804075"/>
    <w:multiLevelType w:val="hybridMultilevel"/>
    <w:tmpl w:val="0C022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72E7A"/>
    <w:multiLevelType w:val="multilevel"/>
    <w:tmpl w:val="6A40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393849"/>
    <w:multiLevelType w:val="hybridMultilevel"/>
    <w:tmpl w:val="B88A081E"/>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2390F"/>
    <w:multiLevelType w:val="hybridMultilevel"/>
    <w:tmpl w:val="8AD46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AA6B70"/>
    <w:multiLevelType w:val="hybridMultilevel"/>
    <w:tmpl w:val="F5625D64"/>
    <w:lvl w:ilvl="0" w:tplc="08090001">
      <w:start w:val="1"/>
      <w:numFmt w:val="bullet"/>
      <w:lvlText w:val=""/>
      <w:lvlJc w:val="left"/>
      <w:pPr>
        <w:ind w:left="574" w:hanging="360"/>
      </w:pPr>
      <w:rPr>
        <w:rFonts w:ascii="Symbol" w:hAnsi="Symbol" w:hint="default"/>
      </w:rPr>
    </w:lvl>
    <w:lvl w:ilvl="1" w:tplc="08090003" w:tentative="1">
      <w:start w:val="1"/>
      <w:numFmt w:val="bullet"/>
      <w:lvlText w:val="o"/>
      <w:lvlJc w:val="left"/>
      <w:pPr>
        <w:ind w:left="1294" w:hanging="360"/>
      </w:pPr>
      <w:rPr>
        <w:rFonts w:ascii="Courier New" w:hAnsi="Courier New" w:cs="Courier New" w:hint="default"/>
      </w:rPr>
    </w:lvl>
    <w:lvl w:ilvl="2" w:tplc="08090005" w:tentative="1">
      <w:start w:val="1"/>
      <w:numFmt w:val="bullet"/>
      <w:lvlText w:val=""/>
      <w:lvlJc w:val="left"/>
      <w:pPr>
        <w:ind w:left="2014" w:hanging="360"/>
      </w:pPr>
      <w:rPr>
        <w:rFonts w:ascii="Wingdings" w:hAnsi="Wingdings" w:hint="default"/>
      </w:rPr>
    </w:lvl>
    <w:lvl w:ilvl="3" w:tplc="08090001" w:tentative="1">
      <w:start w:val="1"/>
      <w:numFmt w:val="bullet"/>
      <w:lvlText w:val=""/>
      <w:lvlJc w:val="left"/>
      <w:pPr>
        <w:ind w:left="2734" w:hanging="360"/>
      </w:pPr>
      <w:rPr>
        <w:rFonts w:ascii="Symbol" w:hAnsi="Symbol" w:hint="default"/>
      </w:rPr>
    </w:lvl>
    <w:lvl w:ilvl="4" w:tplc="08090003" w:tentative="1">
      <w:start w:val="1"/>
      <w:numFmt w:val="bullet"/>
      <w:lvlText w:val="o"/>
      <w:lvlJc w:val="left"/>
      <w:pPr>
        <w:ind w:left="3454" w:hanging="360"/>
      </w:pPr>
      <w:rPr>
        <w:rFonts w:ascii="Courier New" w:hAnsi="Courier New" w:cs="Courier New" w:hint="default"/>
      </w:rPr>
    </w:lvl>
    <w:lvl w:ilvl="5" w:tplc="08090005" w:tentative="1">
      <w:start w:val="1"/>
      <w:numFmt w:val="bullet"/>
      <w:lvlText w:val=""/>
      <w:lvlJc w:val="left"/>
      <w:pPr>
        <w:ind w:left="4174" w:hanging="360"/>
      </w:pPr>
      <w:rPr>
        <w:rFonts w:ascii="Wingdings" w:hAnsi="Wingdings" w:hint="default"/>
      </w:rPr>
    </w:lvl>
    <w:lvl w:ilvl="6" w:tplc="08090001" w:tentative="1">
      <w:start w:val="1"/>
      <w:numFmt w:val="bullet"/>
      <w:lvlText w:val=""/>
      <w:lvlJc w:val="left"/>
      <w:pPr>
        <w:ind w:left="4894" w:hanging="360"/>
      </w:pPr>
      <w:rPr>
        <w:rFonts w:ascii="Symbol" w:hAnsi="Symbol" w:hint="default"/>
      </w:rPr>
    </w:lvl>
    <w:lvl w:ilvl="7" w:tplc="08090003" w:tentative="1">
      <w:start w:val="1"/>
      <w:numFmt w:val="bullet"/>
      <w:lvlText w:val="o"/>
      <w:lvlJc w:val="left"/>
      <w:pPr>
        <w:ind w:left="5614" w:hanging="360"/>
      </w:pPr>
      <w:rPr>
        <w:rFonts w:ascii="Courier New" w:hAnsi="Courier New" w:cs="Courier New" w:hint="default"/>
      </w:rPr>
    </w:lvl>
    <w:lvl w:ilvl="8" w:tplc="08090005" w:tentative="1">
      <w:start w:val="1"/>
      <w:numFmt w:val="bullet"/>
      <w:lvlText w:val=""/>
      <w:lvlJc w:val="left"/>
      <w:pPr>
        <w:ind w:left="6334" w:hanging="360"/>
      </w:pPr>
      <w:rPr>
        <w:rFonts w:ascii="Wingdings" w:hAnsi="Wingdings" w:hint="default"/>
      </w:rPr>
    </w:lvl>
  </w:abstractNum>
  <w:abstractNum w:abstractNumId="14" w15:restartNumberingAfterBreak="0">
    <w:nsid w:val="706939A0"/>
    <w:multiLevelType w:val="hybridMultilevel"/>
    <w:tmpl w:val="708E9380"/>
    <w:lvl w:ilvl="0" w:tplc="F07C66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265670"/>
    <w:multiLevelType w:val="hybridMultilevel"/>
    <w:tmpl w:val="D5A6F658"/>
    <w:lvl w:ilvl="0" w:tplc="74F65E1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6608A"/>
    <w:multiLevelType w:val="hybridMultilevel"/>
    <w:tmpl w:val="36142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3F24B4"/>
    <w:multiLevelType w:val="hybridMultilevel"/>
    <w:tmpl w:val="6D641588"/>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2E573E"/>
    <w:multiLevelType w:val="hybridMultilevel"/>
    <w:tmpl w:val="4BDA7F4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8860331">
    <w:abstractNumId w:val="3"/>
  </w:num>
  <w:num w:numId="2" w16cid:durableId="1901362172">
    <w:abstractNumId w:val="0"/>
  </w:num>
  <w:num w:numId="3" w16cid:durableId="124469996">
    <w:abstractNumId w:val="1"/>
  </w:num>
  <w:num w:numId="4" w16cid:durableId="501822628">
    <w:abstractNumId w:val="4"/>
  </w:num>
  <w:num w:numId="5" w16cid:durableId="58478225">
    <w:abstractNumId w:val="18"/>
  </w:num>
  <w:num w:numId="6" w16cid:durableId="344794567">
    <w:abstractNumId w:val="11"/>
  </w:num>
  <w:num w:numId="7" w16cid:durableId="635333509">
    <w:abstractNumId w:val="2"/>
  </w:num>
  <w:num w:numId="8" w16cid:durableId="1841575399">
    <w:abstractNumId w:val="16"/>
  </w:num>
  <w:num w:numId="9" w16cid:durableId="1358385310">
    <w:abstractNumId w:val="17"/>
  </w:num>
  <w:num w:numId="10" w16cid:durableId="1972055146">
    <w:abstractNumId w:val="15"/>
  </w:num>
  <w:num w:numId="11" w16cid:durableId="1263102016">
    <w:abstractNumId w:val="14"/>
  </w:num>
  <w:num w:numId="12" w16cid:durableId="1381518844">
    <w:abstractNumId w:val="6"/>
  </w:num>
  <w:num w:numId="13" w16cid:durableId="1194464993">
    <w:abstractNumId w:val="5"/>
  </w:num>
  <w:num w:numId="14" w16cid:durableId="515004119">
    <w:abstractNumId w:val="9"/>
  </w:num>
  <w:num w:numId="15" w16cid:durableId="320432423">
    <w:abstractNumId w:val="10"/>
  </w:num>
  <w:num w:numId="16" w16cid:durableId="132911378">
    <w:abstractNumId w:val="12"/>
  </w:num>
  <w:num w:numId="17" w16cid:durableId="47261683">
    <w:abstractNumId w:val="7"/>
  </w:num>
  <w:num w:numId="18" w16cid:durableId="493377518">
    <w:abstractNumId w:val="13"/>
  </w:num>
  <w:num w:numId="19" w16cid:durableId="67315081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21"/>
    <w:rsid w:val="00000E5D"/>
    <w:rsid w:val="000101A9"/>
    <w:rsid w:val="00014828"/>
    <w:rsid w:val="00020792"/>
    <w:rsid w:val="00020A3F"/>
    <w:rsid w:val="0002695E"/>
    <w:rsid w:val="00027DA6"/>
    <w:rsid w:val="000445FC"/>
    <w:rsid w:val="000672ED"/>
    <w:rsid w:val="0009444A"/>
    <w:rsid w:val="00097F34"/>
    <w:rsid w:val="000B0A62"/>
    <w:rsid w:val="000D0C4C"/>
    <w:rsid w:val="000D45D7"/>
    <w:rsid w:val="000E6C5A"/>
    <w:rsid w:val="000F43F6"/>
    <w:rsid w:val="0010350C"/>
    <w:rsid w:val="00167809"/>
    <w:rsid w:val="0017466D"/>
    <w:rsid w:val="00175E5E"/>
    <w:rsid w:val="00185331"/>
    <w:rsid w:val="001A6311"/>
    <w:rsid w:val="001D3284"/>
    <w:rsid w:val="001F036A"/>
    <w:rsid w:val="001F7722"/>
    <w:rsid w:val="00201BE8"/>
    <w:rsid w:val="0022267C"/>
    <w:rsid w:val="00234B91"/>
    <w:rsid w:val="002359A4"/>
    <w:rsid w:val="00253421"/>
    <w:rsid w:val="0027411C"/>
    <w:rsid w:val="002A4586"/>
    <w:rsid w:val="002A7A78"/>
    <w:rsid w:val="002B030D"/>
    <w:rsid w:val="002B321B"/>
    <w:rsid w:val="002B50CB"/>
    <w:rsid w:val="002D079A"/>
    <w:rsid w:val="002E3118"/>
    <w:rsid w:val="002F1B5C"/>
    <w:rsid w:val="00300B4C"/>
    <w:rsid w:val="00306230"/>
    <w:rsid w:val="003131BE"/>
    <w:rsid w:val="00316B21"/>
    <w:rsid w:val="00361BCC"/>
    <w:rsid w:val="00371CFA"/>
    <w:rsid w:val="00375CDE"/>
    <w:rsid w:val="00383325"/>
    <w:rsid w:val="003946D9"/>
    <w:rsid w:val="003977C9"/>
    <w:rsid w:val="003C0ED2"/>
    <w:rsid w:val="003D3256"/>
    <w:rsid w:val="003F0BE2"/>
    <w:rsid w:val="00406D66"/>
    <w:rsid w:val="00412120"/>
    <w:rsid w:val="00413C44"/>
    <w:rsid w:val="00440E6A"/>
    <w:rsid w:val="00453EA4"/>
    <w:rsid w:val="00473082"/>
    <w:rsid w:val="00476E88"/>
    <w:rsid w:val="004823AF"/>
    <w:rsid w:val="00485CF8"/>
    <w:rsid w:val="004A659D"/>
    <w:rsid w:val="004B19C6"/>
    <w:rsid w:val="004B5D08"/>
    <w:rsid w:val="004C63E3"/>
    <w:rsid w:val="004D7145"/>
    <w:rsid w:val="004E0BB2"/>
    <w:rsid w:val="004E1F4E"/>
    <w:rsid w:val="004E72A0"/>
    <w:rsid w:val="00512ABE"/>
    <w:rsid w:val="005141E7"/>
    <w:rsid w:val="005148E6"/>
    <w:rsid w:val="00524927"/>
    <w:rsid w:val="0053627D"/>
    <w:rsid w:val="005376DC"/>
    <w:rsid w:val="00557AB3"/>
    <w:rsid w:val="00557ED3"/>
    <w:rsid w:val="005650C9"/>
    <w:rsid w:val="00565494"/>
    <w:rsid w:val="00583366"/>
    <w:rsid w:val="005A42AA"/>
    <w:rsid w:val="005B5ABB"/>
    <w:rsid w:val="005C0691"/>
    <w:rsid w:val="005D2D98"/>
    <w:rsid w:val="005D65E1"/>
    <w:rsid w:val="005F5E30"/>
    <w:rsid w:val="00602E68"/>
    <w:rsid w:val="00634FDC"/>
    <w:rsid w:val="00667E91"/>
    <w:rsid w:val="00697235"/>
    <w:rsid w:val="006B6CA0"/>
    <w:rsid w:val="006D342B"/>
    <w:rsid w:val="00710B42"/>
    <w:rsid w:val="00764090"/>
    <w:rsid w:val="00765443"/>
    <w:rsid w:val="00776FF3"/>
    <w:rsid w:val="007A4916"/>
    <w:rsid w:val="007A4940"/>
    <w:rsid w:val="007B3910"/>
    <w:rsid w:val="007B6DA1"/>
    <w:rsid w:val="007C1C10"/>
    <w:rsid w:val="007D23BA"/>
    <w:rsid w:val="007D3C82"/>
    <w:rsid w:val="007E4AE5"/>
    <w:rsid w:val="008122F5"/>
    <w:rsid w:val="00842A9F"/>
    <w:rsid w:val="008442A7"/>
    <w:rsid w:val="00844922"/>
    <w:rsid w:val="00846167"/>
    <w:rsid w:val="00855C76"/>
    <w:rsid w:val="008827C0"/>
    <w:rsid w:val="008859ED"/>
    <w:rsid w:val="008C22BE"/>
    <w:rsid w:val="008C4E75"/>
    <w:rsid w:val="008C6AB9"/>
    <w:rsid w:val="008D66E8"/>
    <w:rsid w:val="008F0B10"/>
    <w:rsid w:val="00910B09"/>
    <w:rsid w:val="009173A5"/>
    <w:rsid w:val="00930FC5"/>
    <w:rsid w:val="00931FE3"/>
    <w:rsid w:val="0093434D"/>
    <w:rsid w:val="00942B57"/>
    <w:rsid w:val="00954223"/>
    <w:rsid w:val="00955A16"/>
    <w:rsid w:val="0097009D"/>
    <w:rsid w:val="009A024A"/>
    <w:rsid w:val="009A5652"/>
    <w:rsid w:val="009C6145"/>
    <w:rsid w:val="009C7A7C"/>
    <w:rsid w:val="009E4FDF"/>
    <w:rsid w:val="009F4379"/>
    <w:rsid w:val="00A2181E"/>
    <w:rsid w:val="00A21B99"/>
    <w:rsid w:val="00A30F74"/>
    <w:rsid w:val="00A338F5"/>
    <w:rsid w:val="00A67382"/>
    <w:rsid w:val="00A8396C"/>
    <w:rsid w:val="00A86FC0"/>
    <w:rsid w:val="00AA39DC"/>
    <w:rsid w:val="00AC2B03"/>
    <w:rsid w:val="00AE1A63"/>
    <w:rsid w:val="00AF051F"/>
    <w:rsid w:val="00AF7A76"/>
    <w:rsid w:val="00B35AD2"/>
    <w:rsid w:val="00B609CD"/>
    <w:rsid w:val="00B71287"/>
    <w:rsid w:val="00B925DC"/>
    <w:rsid w:val="00B9325C"/>
    <w:rsid w:val="00BB0345"/>
    <w:rsid w:val="00BB7521"/>
    <w:rsid w:val="00BC00F1"/>
    <w:rsid w:val="00BC7886"/>
    <w:rsid w:val="00BE3621"/>
    <w:rsid w:val="00BE5BC9"/>
    <w:rsid w:val="00BF368E"/>
    <w:rsid w:val="00BF4CCD"/>
    <w:rsid w:val="00BF55B0"/>
    <w:rsid w:val="00C07A7F"/>
    <w:rsid w:val="00C16246"/>
    <w:rsid w:val="00C268D2"/>
    <w:rsid w:val="00C55619"/>
    <w:rsid w:val="00C802BA"/>
    <w:rsid w:val="00C91453"/>
    <w:rsid w:val="00C9434B"/>
    <w:rsid w:val="00CE5828"/>
    <w:rsid w:val="00CF2DB4"/>
    <w:rsid w:val="00CF60CA"/>
    <w:rsid w:val="00D36B64"/>
    <w:rsid w:val="00D36DF3"/>
    <w:rsid w:val="00D6230E"/>
    <w:rsid w:val="00D6461B"/>
    <w:rsid w:val="00D82B98"/>
    <w:rsid w:val="00E276B3"/>
    <w:rsid w:val="00E30D72"/>
    <w:rsid w:val="00E36C91"/>
    <w:rsid w:val="00E407B0"/>
    <w:rsid w:val="00E46B3A"/>
    <w:rsid w:val="00E64312"/>
    <w:rsid w:val="00E727B9"/>
    <w:rsid w:val="00E76C65"/>
    <w:rsid w:val="00E76D85"/>
    <w:rsid w:val="00E81E9C"/>
    <w:rsid w:val="00E97646"/>
    <w:rsid w:val="00EC1E1D"/>
    <w:rsid w:val="00EE3EC4"/>
    <w:rsid w:val="00EF33DA"/>
    <w:rsid w:val="00EF3D7E"/>
    <w:rsid w:val="00F141B9"/>
    <w:rsid w:val="00F20E39"/>
    <w:rsid w:val="00F26E16"/>
    <w:rsid w:val="00F32D96"/>
    <w:rsid w:val="00F4181A"/>
    <w:rsid w:val="00F64897"/>
    <w:rsid w:val="00F71AA4"/>
    <w:rsid w:val="00F75E27"/>
    <w:rsid w:val="00F77FBD"/>
    <w:rsid w:val="00F80364"/>
    <w:rsid w:val="00F81EBD"/>
    <w:rsid w:val="00F8215F"/>
    <w:rsid w:val="00F85611"/>
    <w:rsid w:val="00F93667"/>
    <w:rsid w:val="00F94D68"/>
    <w:rsid w:val="00FB61BF"/>
    <w:rsid w:val="00FC4814"/>
    <w:rsid w:val="00FE7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93E13"/>
  <w15:docId w15:val="{1D4B602E-6DD8-4E51-9C63-265585BE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21B"/>
    <w:pPr>
      <w:spacing w:after="100"/>
    </w:pPr>
    <w:rPr>
      <w:rFonts w:ascii="Arial" w:hAnsi="Aria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En tête 1,Indent Paragraph"/>
    <w:basedOn w:val="Normal"/>
    <w:link w:val="ListParagraphChar"/>
    <w:uiPriority w:val="34"/>
    <w:qFormat/>
    <w:rsid w:val="00BE3621"/>
    <w:pPr>
      <w:ind w:left="720"/>
      <w:contextualSpacing/>
    </w:pPr>
  </w:style>
  <w:style w:type="character" w:customStyle="1" w:styleId="ListParagraphChar">
    <w:name w:val="List Paragraph Char"/>
    <w:aliases w:val="List Paragraph (numbered (a)) Char,Lapis Bulleted List Char,En tête 1 Char,Indent Paragraph Char"/>
    <w:basedOn w:val="DefaultParagraphFont"/>
    <w:link w:val="ListParagraph"/>
    <w:uiPriority w:val="34"/>
    <w:rsid w:val="00BE3621"/>
  </w:style>
  <w:style w:type="paragraph" w:styleId="FootnoteText">
    <w:name w:val="footnote text"/>
    <w:basedOn w:val="Normal"/>
    <w:link w:val="FootnoteTextChar"/>
    <w:uiPriority w:val="99"/>
    <w:semiHidden/>
    <w:unhideWhenUsed/>
    <w:rsid w:val="00512A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ABE"/>
    <w:rPr>
      <w:sz w:val="20"/>
      <w:szCs w:val="20"/>
    </w:rPr>
  </w:style>
  <w:style w:type="character" w:styleId="FootnoteReference">
    <w:name w:val="footnote reference"/>
    <w:basedOn w:val="DefaultParagraphFont"/>
    <w:uiPriority w:val="99"/>
    <w:semiHidden/>
    <w:unhideWhenUsed/>
    <w:rsid w:val="00512ABE"/>
    <w:rPr>
      <w:vertAlign w:val="superscript"/>
    </w:rPr>
  </w:style>
  <w:style w:type="paragraph" w:styleId="BalloonText">
    <w:name w:val="Balloon Text"/>
    <w:basedOn w:val="Normal"/>
    <w:link w:val="BalloonTextChar"/>
    <w:uiPriority w:val="99"/>
    <w:semiHidden/>
    <w:unhideWhenUsed/>
    <w:rsid w:val="00103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0C"/>
    <w:rPr>
      <w:rFonts w:ascii="Tahoma" w:hAnsi="Tahoma" w:cs="Tahoma"/>
      <w:sz w:val="16"/>
      <w:szCs w:val="16"/>
    </w:rPr>
  </w:style>
  <w:style w:type="paragraph" w:styleId="DocumentMap">
    <w:name w:val="Document Map"/>
    <w:basedOn w:val="Normal"/>
    <w:link w:val="DocumentMapChar"/>
    <w:uiPriority w:val="99"/>
    <w:semiHidden/>
    <w:unhideWhenUsed/>
    <w:rsid w:val="0010350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350C"/>
    <w:rPr>
      <w:rFonts w:ascii="Tahoma" w:hAnsi="Tahoma" w:cs="Tahoma"/>
      <w:sz w:val="16"/>
      <w:szCs w:val="16"/>
    </w:rPr>
  </w:style>
  <w:style w:type="character" w:styleId="CommentReference">
    <w:name w:val="annotation reference"/>
    <w:basedOn w:val="DefaultParagraphFont"/>
    <w:uiPriority w:val="99"/>
    <w:semiHidden/>
    <w:unhideWhenUsed/>
    <w:rsid w:val="0010350C"/>
    <w:rPr>
      <w:sz w:val="16"/>
      <w:szCs w:val="16"/>
    </w:rPr>
  </w:style>
  <w:style w:type="paragraph" w:styleId="CommentText">
    <w:name w:val="annotation text"/>
    <w:basedOn w:val="Normal"/>
    <w:link w:val="CommentTextChar"/>
    <w:uiPriority w:val="99"/>
    <w:semiHidden/>
    <w:unhideWhenUsed/>
    <w:rsid w:val="0010350C"/>
    <w:pPr>
      <w:spacing w:line="240" w:lineRule="auto"/>
    </w:pPr>
    <w:rPr>
      <w:sz w:val="20"/>
      <w:szCs w:val="20"/>
    </w:rPr>
  </w:style>
  <w:style w:type="character" w:customStyle="1" w:styleId="CommentTextChar">
    <w:name w:val="Comment Text Char"/>
    <w:basedOn w:val="DefaultParagraphFont"/>
    <w:link w:val="CommentText"/>
    <w:uiPriority w:val="99"/>
    <w:semiHidden/>
    <w:rsid w:val="0010350C"/>
    <w:rPr>
      <w:sz w:val="20"/>
      <w:szCs w:val="20"/>
    </w:rPr>
  </w:style>
  <w:style w:type="paragraph" w:styleId="CommentSubject">
    <w:name w:val="annotation subject"/>
    <w:basedOn w:val="CommentText"/>
    <w:next w:val="CommentText"/>
    <w:link w:val="CommentSubjectChar"/>
    <w:uiPriority w:val="99"/>
    <w:semiHidden/>
    <w:unhideWhenUsed/>
    <w:rsid w:val="0010350C"/>
    <w:rPr>
      <w:b/>
      <w:bCs/>
    </w:rPr>
  </w:style>
  <w:style w:type="character" w:customStyle="1" w:styleId="CommentSubjectChar">
    <w:name w:val="Comment Subject Char"/>
    <w:basedOn w:val="CommentTextChar"/>
    <w:link w:val="CommentSubject"/>
    <w:uiPriority w:val="99"/>
    <w:semiHidden/>
    <w:rsid w:val="0010350C"/>
    <w:rPr>
      <w:b/>
      <w:bCs/>
      <w:sz w:val="20"/>
      <w:szCs w:val="20"/>
    </w:rPr>
  </w:style>
  <w:style w:type="paragraph" w:styleId="Header">
    <w:name w:val="header"/>
    <w:basedOn w:val="Normal"/>
    <w:link w:val="HeaderChar"/>
    <w:uiPriority w:val="99"/>
    <w:unhideWhenUsed/>
    <w:rsid w:val="00F94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D68"/>
  </w:style>
  <w:style w:type="paragraph" w:styleId="Footer">
    <w:name w:val="footer"/>
    <w:basedOn w:val="Normal"/>
    <w:link w:val="FooterChar"/>
    <w:uiPriority w:val="99"/>
    <w:unhideWhenUsed/>
    <w:rsid w:val="00F94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D68"/>
  </w:style>
  <w:style w:type="paragraph" w:styleId="Revision">
    <w:name w:val="Revision"/>
    <w:hidden/>
    <w:uiPriority w:val="99"/>
    <w:semiHidden/>
    <w:rsid w:val="004E72A0"/>
    <w:pPr>
      <w:spacing w:after="0" w:line="240" w:lineRule="auto"/>
    </w:pPr>
  </w:style>
  <w:style w:type="paragraph" w:customStyle="1" w:styleId="Title1">
    <w:name w:val="Title1"/>
    <w:pPr>
      <w:keepNext/>
    </w:pPr>
    <w:rPr>
      <w:rFonts w:ascii="Times New Roman" w:hAnsi="Times New Roman"/>
      <w:b/>
      <w:color w:val="000000"/>
      <w:sz w:val="28"/>
    </w:rPr>
  </w:style>
  <w:style w:type="paragraph" w:customStyle="1" w:styleId="Heading11">
    <w:name w:val="Heading 11"/>
    <w:pPr>
      <w:keepNext/>
      <w:spacing w:before="200" w:after="100"/>
    </w:pPr>
    <w:rPr>
      <w:rFonts w:ascii="Times New Roman" w:hAnsi="Times New Roman"/>
      <w:b/>
      <w:color w:val="000000"/>
      <w:sz w:val="26"/>
    </w:rPr>
  </w:style>
  <w:style w:type="paragraph" w:customStyle="1" w:styleId="Heading21">
    <w:name w:val="Heading 21"/>
    <w:pPr>
      <w:keepNext/>
      <w:spacing w:before="200" w:after="100"/>
    </w:pPr>
    <w:rPr>
      <w:rFonts w:ascii="Times New Roman" w:hAnsi="Times New Roman"/>
      <w:b/>
      <w:color w:val="000000"/>
      <w:sz w:val="24"/>
    </w:rPr>
  </w:style>
  <w:style w:type="table" w:styleId="TableGrid">
    <w:name w:val="Table Grid"/>
    <w:basedOn w:val="TableNormal"/>
    <w:uiPriority w:val="39"/>
    <w:rsid w:val="00CE5828"/>
    <w:pPr>
      <w:widowControl w:val="0"/>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5828"/>
    <w:rPr>
      <w:color w:val="0563C1" w:themeColor="hyperlink"/>
      <w:u w:val="single"/>
    </w:rPr>
  </w:style>
  <w:style w:type="paragraph" w:customStyle="1" w:styleId="Title2">
    <w:name w:val="Title2"/>
    <w:rPr>
      <w:rFonts w:ascii="Arial" w:hAnsi="Arial"/>
      <w:b/>
      <w:color w:val="000000"/>
    </w:rPr>
  </w:style>
  <w:style w:type="paragraph" w:customStyle="1" w:styleId="Heading12">
    <w:name w:val="Heading 12"/>
    <w:rPr>
      <w:rFonts w:ascii="Arial" w:hAnsi="Arial"/>
      <w:b/>
      <w:color w:val="000000"/>
    </w:rPr>
  </w:style>
  <w:style w:type="paragraph" w:customStyle="1" w:styleId="Heading22">
    <w:name w:val="Heading 22"/>
    <w:rPr>
      <w:rFonts w:ascii="Arial" w:hAnsi="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29519266">
      <w:bodyDiv w:val="1"/>
      <w:marLeft w:val="0"/>
      <w:marRight w:val="0"/>
      <w:marTop w:val="0"/>
      <w:marBottom w:val="0"/>
      <w:divBdr>
        <w:top w:val="none" w:sz="0" w:space="0" w:color="auto"/>
        <w:left w:val="none" w:sz="0" w:space="0" w:color="auto"/>
        <w:bottom w:val="none" w:sz="0" w:space="0" w:color="auto"/>
        <w:right w:val="none" w:sz="0" w:space="0" w:color="auto"/>
      </w:divBdr>
    </w:div>
    <w:div w:id="18488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syd@um.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UACI@um.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lesyd@um.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1679</Words>
  <Characters>12191</Characters>
  <Application>Microsoft Office Word</Application>
  <DocSecurity>0</DocSecurity>
  <Lines>206</Lines>
  <Paragraphs>90</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Технічне завдання з розроблення практичних юридичних кейсів для відбору керівництва САП</vt:lpstr>
      <vt:lpstr/>
    </vt:vector>
  </TitlesOfParts>
  <Manager/>
  <Company/>
  <LinksUpToDate>false</LinksUpToDate>
  <CharactersWithSpaces>13780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Технічне завдання з розробки практичних юридичних кейсів для відбору керівництва САП</dc:title>
  <dc:subject>Український переклад</dc:subject>
  <dc:creator>Author</dc:creator>
  <cp:keywords/>
  <dc:description/>
  <cp:lastModifiedBy>Author</cp:lastModifiedBy>
  <cp:revision>3</cp:revision>
  <dcterms:created xsi:type="dcterms:W3CDTF">2026-09-16T01:10:00Z</dcterms:created>
  <dcterms:modified xsi:type="dcterms:W3CDTF">2026-09-16T01:16:00Z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54835a28d45d7eacab7a4606f365aca200cb782b61a726e9834f6b0879358ff3</vt:lpwstr>
  </property>
</Properties>
</file>