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F807" w14:textId="77777777" w:rsidR="00D2273E" w:rsidRPr="00015B90" w:rsidRDefault="00D2273E">
      <w:pPr>
        <w:widowControl w:val="0"/>
        <w:rPr>
          <w:rFonts w:ascii="Verdana" w:eastAsia="Verdana" w:hAnsi="Verdana" w:cs="Verdana"/>
          <w:sz w:val="20"/>
          <w:szCs w:val="20"/>
          <w:lang w:val="uk-UA"/>
        </w:rPr>
      </w:pPr>
    </w:p>
    <w:p w14:paraId="01BFD540" w14:textId="61A0DBD5" w:rsidR="00D2273E" w:rsidRDefault="000341DB">
      <w:pPr>
        <w:widowControl w:val="0"/>
        <w:spacing w:before="8"/>
        <w:jc w:val="right"/>
        <w:rPr>
          <w:rFonts w:ascii="Verdana" w:eastAsia="Verdana" w:hAnsi="Verdana" w:cs="Verdana"/>
          <w:b/>
          <w:sz w:val="20"/>
          <w:szCs w:val="20"/>
        </w:rPr>
      </w:pPr>
      <w:r w:rsidRPr="000341DB">
        <w:rPr>
          <w:rFonts w:ascii="Verdana" w:eastAsia="Verdana" w:hAnsi="Verdana" w:cs="Verdana"/>
          <w:sz w:val="20"/>
          <w:szCs w:val="20"/>
        </w:rPr>
        <w:t>20</w:t>
      </w:r>
      <w:r w:rsidR="004D0AC1" w:rsidRPr="000341DB">
        <w:rPr>
          <w:rFonts w:ascii="Verdana" w:eastAsia="Verdana" w:hAnsi="Verdana" w:cs="Verdana"/>
          <w:sz w:val="20"/>
          <w:szCs w:val="20"/>
        </w:rPr>
        <w:t>.</w:t>
      </w:r>
      <w:r w:rsidR="001C6F8B" w:rsidRPr="000341DB">
        <w:rPr>
          <w:rFonts w:ascii="Verdana" w:eastAsia="Verdana" w:hAnsi="Verdana" w:cs="Verdana"/>
          <w:sz w:val="20"/>
          <w:szCs w:val="20"/>
        </w:rPr>
        <w:t>0</w:t>
      </w:r>
      <w:r w:rsidR="0057403C" w:rsidRPr="000341DB">
        <w:rPr>
          <w:rFonts w:ascii="Verdana" w:eastAsia="Verdana" w:hAnsi="Verdana" w:cs="Verdana"/>
          <w:sz w:val="20"/>
          <w:szCs w:val="20"/>
        </w:rPr>
        <w:t>5</w:t>
      </w:r>
      <w:r w:rsidR="004D0AC1" w:rsidRPr="000341DB">
        <w:rPr>
          <w:rFonts w:ascii="Verdana" w:eastAsia="Verdana" w:hAnsi="Verdana" w:cs="Verdana"/>
          <w:sz w:val="20"/>
          <w:szCs w:val="20"/>
        </w:rPr>
        <w:t>.202</w:t>
      </w:r>
      <w:r w:rsidR="001D7DDF" w:rsidRPr="000341DB">
        <w:rPr>
          <w:rFonts w:ascii="Verdana" w:eastAsia="Verdana" w:hAnsi="Verdana" w:cs="Verdana"/>
          <w:sz w:val="20"/>
          <w:szCs w:val="20"/>
        </w:rPr>
        <w:t>6</w:t>
      </w:r>
    </w:p>
    <w:p w14:paraId="3764AE46" w14:textId="77777777" w:rsidR="00D2273E" w:rsidRDefault="00D2273E">
      <w:pPr>
        <w:widowControl w:val="0"/>
        <w:spacing w:before="8"/>
        <w:jc w:val="right"/>
        <w:rPr>
          <w:rFonts w:ascii="Verdana" w:eastAsia="Verdana" w:hAnsi="Verdana" w:cs="Verdana"/>
          <w:b/>
          <w:sz w:val="20"/>
          <w:szCs w:val="20"/>
        </w:rPr>
      </w:pPr>
    </w:p>
    <w:p w14:paraId="3F30FA32" w14:textId="54FB1852" w:rsidR="001E4803" w:rsidRDefault="004D0AC1" w:rsidP="001E4803">
      <w:pPr>
        <w:widowControl w:val="0"/>
        <w:jc w:val="center"/>
        <w:rPr>
          <w:rFonts w:ascii="Verdana" w:eastAsia="Verdana" w:hAnsi="Verdana" w:cs="Verdana"/>
          <w:b/>
          <w:sz w:val="20"/>
          <w:szCs w:val="20"/>
        </w:rPr>
      </w:pPr>
      <w:r>
        <w:rPr>
          <w:rFonts w:ascii="Verdana" w:eastAsia="Verdana" w:hAnsi="Verdana" w:cs="Verdana"/>
          <w:b/>
          <w:sz w:val="20"/>
          <w:szCs w:val="20"/>
        </w:rPr>
        <w:t>TERMS OF REFERENCE</w:t>
      </w:r>
    </w:p>
    <w:p w14:paraId="32E89CAC" w14:textId="342C337D" w:rsidR="001E4803" w:rsidRDefault="00FC79B1" w:rsidP="001E4803">
      <w:pPr>
        <w:spacing w:after="200"/>
        <w:jc w:val="center"/>
        <w:rPr>
          <w:rFonts w:ascii="Verdana" w:eastAsia="Verdana" w:hAnsi="Verdana" w:cs="Verdana"/>
          <w:b/>
          <w:sz w:val="20"/>
          <w:szCs w:val="20"/>
        </w:rPr>
      </w:pPr>
      <w:bookmarkStart w:id="0" w:name="_Hlk219194954"/>
      <w:r>
        <w:rPr>
          <w:rFonts w:ascii="Verdana" w:eastAsia="Verdana" w:hAnsi="Verdana" w:cs="Verdana"/>
          <w:b/>
          <w:sz w:val="20"/>
          <w:szCs w:val="20"/>
        </w:rPr>
        <w:t>Sectoral</w:t>
      </w:r>
      <w:r w:rsidR="001E4803">
        <w:rPr>
          <w:rFonts w:ascii="Verdana" w:eastAsia="Verdana" w:hAnsi="Verdana" w:cs="Verdana"/>
          <w:b/>
          <w:sz w:val="20"/>
          <w:szCs w:val="20"/>
        </w:rPr>
        <w:t xml:space="preserve"> expert to provide support to the National Agency on Corruption Prevention in enhancing the methodology for assessing corruption risks in the </w:t>
      </w:r>
      <w:proofErr w:type="spellStart"/>
      <w:r w:rsidR="001E4803">
        <w:rPr>
          <w:rFonts w:ascii="Verdana" w:eastAsia="Verdana" w:hAnsi="Verdana" w:cs="Verdana"/>
          <w:b/>
          <w:sz w:val="20"/>
          <w:szCs w:val="20"/>
        </w:rPr>
        <w:t>defence</w:t>
      </w:r>
      <w:proofErr w:type="spellEnd"/>
      <w:r w:rsidR="001E4803">
        <w:rPr>
          <w:rFonts w:ascii="Verdana" w:eastAsia="Verdana" w:hAnsi="Verdana" w:cs="Verdana"/>
          <w:b/>
          <w:sz w:val="20"/>
          <w:szCs w:val="20"/>
        </w:rPr>
        <w:t xml:space="preserve"> sector </w:t>
      </w:r>
      <w:bookmarkEnd w:id="0"/>
    </w:p>
    <w:p w14:paraId="4731056D" w14:textId="77777777" w:rsidR="00D2273E" w:rsidRDefault="00D2273E">
      <w:pPr>
        <w:widowControl w:val="0"/>
        <w:ind w:left="100"/>
        <w:jc w:val="both"/>
        <w:rPr>
          <w:rFonts w:ascii="Verdana" w:eastAsia="Verdana" w:hAnsi="Verdana" w:cs="Verdana"/>
          <w:b/>
          <w:sz w:val="20"/>
          <w:szCs w:val="20"/>
        </w:rPr>
      </w:pPr>
    </w:p>
    <w:p w14:paraId="3EA9EE87" w14:textId="77777777" w:rsidR="00D2273E" w:rsidRPr="001C6F8B" w:rsidRDefault="004D0AC1">
      <w:pPr>
        <w:widowControl w:val="0"/>
        <w:jc w:val="both"/>
        <w:rPr>
          <w:rFonts w:ascii="Verdana" w:eastAsia="Verdana" w:hAnsi="Verdana" w:cs="Verdana"/>
          <w:b/>
          <w:sz w:val="20"/>
          <w:szCs w:val="20"/>
          <w:u w:val="single"/>
        </w:rPr>
      </w:pPr>
      <w:r w:rsidRPr="001C6F8B">
        <w:rPr>
          <w:rFonts w:ascii="Verdana" w:eastAsia="Verdana" w:hAnsi="Verdana" w:cs="Verdana"/>
          <w:b/>
          <w:sz w:val="20"/>
          <w:szCs w:val="20"/>
          <w:u w:val="single"/>
        </w:rPr>
        <w:t>General background</w:t>
      </w:r>
    </w:p>
    <w:p w14:paraId="5FB0E30D" w14:textId="585EE5C4" w:rsidR="00DE13C4" w:rsidRPr="00DE13C4" w:rsidRDefault="00DE13C4" w:rsidP="00DE13C4">
      <w:pPr>
        <w:spacing w:before="280" w:after="280" w:line="240" w:lineRule="auto"/>
        <w:jc w:val="both"/>
        <w:rPr>
          <w:rFonts w:ascii="Verdana" w:eastAsia="Verdana" w:hAnsi="Verdana" w:cs="Verdana"/>
          <w:sz w:val="20"/>
          <w:szCs w:val="20"/>
        </w:rPr>
      </w:pPr>
      <w:r w:rsidRPr="00DE13C4">
        <w:rPr>
          <w:rFonts w:ascii="Verdana" w:eastAsia="Verdana" w:hAnsi="Verdana" w:cs="Verdana"/>
          <w:sz w:val="20"/>
          <w:szCs w:val="20"/>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anticorruption reforms, and implementing reconstruction efforts in war-affected areas with a strong emphasis on transparency, accountability, and integrity.</w:t>
      </w:r>
    </w:p>
    <w:p w14:paraId="64D33825" w14:textId="77777777" w:rsidR="001E4803" w:rsidRPr="009F1270" w:rsidRDefault="001E4803" w:rsidP="001E4803">
      <w:pPr>
        <w:spacing w:before="280" w:after="280" w:line="240" w:lineRule="auto"/>
        <w:jc w:val="both"/>
        <w:rPr>
          <w:rFonts w:ascii="Verdana" w:eastAsia="Verdana" w:hAnsi="Verdana" w:cs="Verdana"/>
          <w:sz w:val="20"/>
          <w:szCs w:val="20"/>
        </w:rPr>
      </w:pPr>
      <w:r>
        <w:rPr>
          <w:rFonts w:ascii="Verdana" w:eastAsia="Verdana" w:hAnsi="Verdana" w:cs="Verdana"/>
          <w:sz w:val="20"/>
          <w:szCs w:val="20"/>
        </w:rPr>
        <w:t xml:space="preserve">The </w:t>
      </w:r>
      <w:r w:rsidRPr="009F1270">
        <w:rPr>
          <w:rFonts w:ascii="Verdana" w:eastAsia="Verdana" w:hAnsi="Verdana" w:cs="Verdana"/>
          <w:sz w:val="20"/>
          <w:szCs w:val="20"/>
        </w:rPr>
        <w:t>EUACI</w:t>
      </w:r>
      <w:r w:rsidRPr="009F1270">
        <w:rPr>
          <w:rFonts w:ascii="Verdana" w:eastAsia="Verdana" w:hAnsi="Verdana" w:cs="Verdana"/>
          <w:sz w:val="20"/>
          <w:szCs w:val="20"/>
          <w:lang w:val="uk-UA"/>
        </w:rPr>
        <w:t xml:space="preserve"> </w:t>
      </w:r>
      <w:r w:rsidRPr="009F1270">
        <w:rPr>
          <w:rFonts w:ascii="Verdana" w:eastAsia="Verdana" w:hAnsi="Verdana" w:cs="Verdana"/>
          <w:sz w:val="20"/>
          <w:szCs w:val="20"/>
        </w:rPr>
        <w:t xml:space="preserve">is implementing the project “Enhancing Integrity in the Defence Sector” with funding from, the European Union’s Foreign Policy Instruments (FPI) (hereinafter – EUACI Defence </w:t>
      </w:r>
      <w:r w:rsidRPr="009F1270">
        <w:rPr>
          <w:rFonts w:ascii="Verdana" w:hAnsi="Verdana"/>
          <w:sz w:val="20"/>
          <w:szCs w:val="20"/>
        </w:rPr>
        <w:t>Program</w:t>
      </w:r>
      <w:r w:rsidRPr="009F1270">
        <w:rPr>
          <w:rFonts w:ascii="Verdana" w:eastAsia="Verdana" w:hAnsi="Verdana" w:cs="Verdana"/>
          <w:sz w:val="20"/>
          <w:szCs w:val="20"/>
        </w:rPr>
        <w:t>).</w:t>
      </w:r>
    </w:p>
    <w:p w14:paraId="161DD988" w14:textId="501C59E8" w:rsidR="001E4803" w:rsidRDefault="001E4803" w:rsidP="001E4803">
      <w:pPr>
        <w:spacing w:line="240" w:lineRule="auto"/>
        <w:jc w:val="both"/>
        <w:rPr>
          <w:rFonts w:ascii="Verdana" w:eastAsia="Verdana" w:hAnsi="Verdana" w:cs="Verdana"/>
          <w:sz w:val="20"/>
          <w:szCs w:val="20"/>
        </w:rPr>
      </w:pPr>
      <w:r w:rsidRPr="0012171C">
        <w:rPr>
          <w:rFonts w:ascii="Verdana" w:eastAsia="Verdana" w:hAnsi="Verdana" w:cs="Verdana"/>
          <w:sz w:val="20"/>
          <w:szCs w:val="20"/>
        </w:rPr>
        <w:t xml:space="preserve">One of the beneficiaries of the </w:t>
      </w:r>
      <w:r w:rsidRPr="00F42D9A">
        <w:rPr>
          <w:rFonts w:ascii="Verdana" w:eastAsia="Verdana" w:hAnsi="Verdana" w:cs="Verdana"/>
          <w:sz w:val="20"/>
          <w:szCs w:val="20"/>
        </w:rPr>
        <w:t>EUACI Defence Program</w:t>
      </w:r>
      <w:r w:rsidRPr="0012171C">
        <w:rPr>
          <w:rFonts w:ascii="Verdana" w:eastAsia="Verdana" w:hAnsi="Verdana" w:cs="Verdana"/>
          <w:sz w:val="20"/>
          <w:szCs w:val="20"/>
        </w:rPr>
        <w:t xml:space="preserve"> is </w:t>
      </w:r>
      <w:r>
        <w:rPr>
          <w:rFonts w:ascii="Verdana" w:hAnsi="Verdana"/>
          <w:sz w:val="20"/>
          <w:szCs w:val="20"/>
        </w:rPr>
        <w:t xml:space="preserve">the National Agency on Corruption Prevention </w:t>
      </w:r>
      <w:r>
        <w:rPr>
          <w:rFonts w:ascii="Verdana" w:eastAsia="Verdana" w:hAnsi="Verdana" w:cs="Verdana"/>
          <w:sz w:val="20"/>
          <w:szCs w:val="20"/>
        </w:rPr>
        <w:t xml:space="preserve">(hereinafter – NACP, National Agency). </w:t>
      </w:r>
    </w:p>
    <w:p w14:paraId="72C07F46" w14:textId="77777777" w:rsidR="001E4803" w:rsidRDefault="001E4803" w:rsidP="001E4803">
      <w:pPr>
        <w:jc w:val="both"/>
        <w:rPr>
          <w:rFonts w:ascii="Verdana" w:eastAsia="Verdana" w:hAnsi="Verdana" w:cs="Verdana"/>
          <w:sz w:val="20"/>
          <w:szCs w:val="20"/>
        </w:rPr>
      </w:pPr>
    </w:p>
    <w:p w14:paraId="5DDF9744" w14:textId="77777777" w:rsidR="001E4803" w:rsidRDefault="001E4803" w:rsidP="001E4803">
      <w:pPr>
        <w:jc w:val="both"/>
        <w:rPr>
          <w:rFonts w:ascii="Verdana" w:eastAsia="Verdana" w:hAnsi="Verdana" w:cs="Verdana"/>
          <w:sz w:val="20"/>
          <w:szCs w:val="20"/>
        </w:rPr>
      </w:pPr>
      <w:r>
        <w:rPr>
          <w:rFonts w:ascii="Verdana" w:eastAsia="Verdana" w:hAnsi="Verdana" w:cs="Verdana"/>
          <w:sz w:val="20"/>
          <w:szCs w:val="20"/>
        </w:rPr>
        <w:t>In particular, the National Agency participates in the implementation of flagship projects under the NATO Comprehensive Assistance Package for Ukraine, including the Strategic Review of Ukraine’s Defense Procurement System and the implementation of NATO’s Initial Interoperability Requirements for Ukraine. In this context, NACP has been designated responsible for the overall coordination of state bodies in implementing tasks under Interoperability Objective 0204 “Integrity Building” of NATO’s Initial Interoperability Requirements for Ukraine.</w:t>
      </w:r>
    </w:p>
    <w:p w14:paraId="65BAE8D6" w14:textId="77777777" w:rsidR="001E4803" w:rsidRDefault="001E4803" w:rsidP="001E4803">
      <w:pPr>
        <w:jc w:val="both"/>
        <w:rPr>
          <w:rFonts w:ascii="Verdana" w:eastAsia="Verdana" w:hAnsi="Verdana" w:cs="Verdana"/>
          <w:sz w:val="20"/>
          <w:szCs w:val="20"/>
        </w:rPr>
      </w:pPr>
    </w:p>
    <w:p w14:paraId="4E83517A" w14:textId="77777777" w:rsidR="001E4803" w:rsidRDefault="001E4803" w:rsidP="001E4803">
      <w:pPr>
        <w:jc w:val="both"/>
        <w:rPr>
          <w:rFonts w:ascii="Verdana" w:eastAsia="Verdana" w:hAnsi="Verdana" w:cs="Verdana"/>
          <w:sz w:val="20"/>
          <w:szCs w:val="20"/>
        </w:rPr>
      </w:pPr>
      <w:r>
        <w:rPr>
          <w:rFonts w:ascii="Verdana" w:eastAsia="Verdana" w:hAnsi="Verdana" w:cs="Verdana"/>
          <w:sz w:val="20"/>
          <w:szCs w:val="20"/>
        </w:rPr>
        <w:t>This requirement includes recommendations on integrity building through ensuring an adequate level of awareness among representatives of security and defense sector bodies regarding the implementation of ethical standards, ensuring transparency in human capital management processes, etc.</w:t>
      </w:r>
    </w:p>
    <w:p w14:paraId="1ED99934" w14:textId="77777777" w:rsidR="001E4803" w:rsidRDefault="001E4803" w:rsidP="001E4803">
      <w:pPr>
        <w:jc w:val="both"/>
        <w:rPr>
          <w:rFonts w:ascii="Verdana" w:eastAsia="Verdana" w:hAnsi="Verdana" w:cs="Verdana"/>
          <w:sz w:val="20"/>
          <w:szCs w:val="20"/>
        </w:rPr>
      </w:pPr>
    </w:p>
    <w:p w14:paraId="1CD7183D" w14:textId="77777777" w:rsidR="001E4803" w:rsidRDefault="001E4803" w:rsidP="001E4803">
      <w:pPr>
        <w:jc w:val="both"/>
        <w:rPr>
          <w:rFonts w:ascii="Verdana" w:eastAsia="Verdana" w:hAnsi="Verdana" w:cs="Verdana"/>
          <w:sz w:val="20"/>
          <w:szCs w:val="20"/>
        </w:rPr>
      </w:pPr>
      <w:r>
        <w:rPr>
          <w:rFonts w:ascii="Verdana" w:eastAsia="Verdana" w:hAnsi="Verdana" w:cs="Verdana"/>
          <w:sz w:val="20"/>
          <w:szCs w:val="20"/>
        </w:rPr>
        <w:t>To properly implement the tasks defined by Initial Requirement 0204 and introduce a unified approach within security and defense sector bodies, the NACP developed a Unified Action Plan for the implementation of the tasks under Requirement 0204. This plan was prepared taking into account proposals from the security and defense sector bodies and was agreed upon during a joint meeting.</w:t>
      </w:r>
    </w:p>
    <w:p w14:paraId="02C9A66B" w14:textId="77777777" w:rsidR="001E4803" w:rsidRDefault="001E4803" w:rsidP="001E4803">
      <w:pPr>
        <w:jc w:val="both"/>
        <w:rPr>
          <w:rFonts w:ascii="Verdana" w:eastAsia="Verdana" w:hAnsi="Verdana" w:cs="Verdana"/>
          <w:sz w:val="20"/>
          <w:szCs w:val="20"/>
        </w:rPr>
      </w:pPr>
    </w:p>
    <w:p w14:paraId="0D020A93" w14:textId="77777777" w:rsidR="001E4803" w:rsidRDefault="001E4803" w:rsidP="001E4803">
      <w:pPr>
        <w:jc w:val="both"/>
        <w:rPr>
          <w:rFonts w:ascii="Verdana" w:eastAsia="Verdana" w:hAnsi="Verdana" w:cs="Verdana"/>
          <w:sz w:val="20"/>
          <w:szCs w:val="20"/>
        </w:rPr>
      </w:pPr>
      <w:r>
        <w:rPr>
          <w:rFonts w:ascii="Verdana" w:eastAsia="Verdana" w:hAnsi="Verdana" w:cs="Verdana"/>
          <w:sz w:val="20"/>
          <w:szCs w:val="20"/>
        </w:rPr>
        <w:t xml:space="preserve">One of the tasks defined by NATO Interoperability Requirement 0204 “Integrity Building” is: “To institutionalize a risk assessment approach for integrity development and corruption prevention </w:t>
      </w:r>
      <w:r>
        <w:rPr>
          <w:rFonts w:ascii="Verdana" w:eastAsia="Verdana" w:hAnsi="Verdana" w:cs="Verdana"/>
          <w:sz w:val="20"/>
          <w:szCs w:val="20"/>
        </w:rPr>
        <w:lastRenderedPageBreak/>
        <w:t>by developing a corruption risk management system within all security and defense sector institutions and a risk assessment strategy, including a risk register to be regularly updated based on corruption risk analysis and accumulated experience.”</w:t>
      </w:r>
    </w:p>
    <w:p w14:paraId="6FFF0444" w14:textId="77777777" w:rsidR="001E4803" w:rsidRDefault="001E4803" w:rsidP="001E4803">
      <w:pPr>
        <w:jc w:val="both"/>
        <w:rPr>
          <w:rFonts w:ascii="Verdana" w:eastAsia="Verdana" w:hAnsi="Verdana" w:cs="Verdana"/>
          <w:sz w:val="20"/>
          <w:szCs w:val="20"/>
        </w:rPr>
      </w:pPr>
    </w:p>
    <w:p w14:paraId="270B3B6A" w14:textId="77777777" w:rsidR="001E4803" w:rsidRDefault="001E4803" w:rsidP="001E4803">
      <w:pPr>
        <w:jc w:val="both"/>
        <w:rPr>
          <w:rFonts w:ascii="Verdana" w:eastAsia="Verdana" w:hAnsi="Verdana" w:cs="Verdana"/>
          <w:sz w:val="20"/>
          <w:szCs w:val="20"/>
        </w:rPr>
      </w:pPr>
      <w:r>
        <w:rPr>
          <w:rFonts w:ascii="Verdana" w:eastAsia="Verdana" w:hAnsi="Verdana" w:cs="Verdana"/>
          <w:sz w:val="20"/>
          <w:szCs w:val="20"/>
          <w:lang w:val="en-GB"/>
        </w:rPr>
        <w:t>Within the above-mentioned activity NACP has defined a key performance indicator as follows: “</w:t>
      </w:r>
      <w:r>
        <w:rPr>
          <w:rFonts w:ascii="Verdana" w:eastAsia="Verdana" w:hAnsi="Verdana" w:cs="Verdana"/>
          <w:sz w:val="20"/>
          <w:szCs w:val="20"/>
        </w:rPr>
        <w:t>The Corruption Risk Management Methodology (</w:t>
      </w:r>
      <w:r>
        <w:rPr>
          <w:rFonts w:ascii="Verdana" w:hAnsi="Verdana"/>
          <w:sz w:val="20"/>
          <w:szCs w:val="20"/>
        </w:rPr>
        <w:t xml:space="preserve">the current version was officially adopted by NACP Order No. 830/21 dated 18 December 2021) </w:t>
      </w:r>
      <w:r>
        <w:rPr>
          <w:rFonts w:ascii="Verdana" w:eastAsia="Verdana" w:hAnsi="Verdana" w:cs="Verdana"/>
          <w:sz w:val="20"/>
          <w:szCs w:val="20"/>
        </w:rPr>
        <w:t>contains a clear system for managing corruption risks within security and defense sector bodies and an effective risk</w:t>
      </w:r>
      <w:r>
        <w:rPr>
          <w:rFonts w:ascii="Verdana" w:hAnsi="Verdana"/>
          <w:sz w:val="20"/>
          <w:szCs w:val="20"/>
          <w:lang w:val="en-GB"/>
        </w:rPr>
        <w:t xml:space="preserve"> </w:t>
      </w:r>
      <w:r>
        <w:rPr>
          <w:rFonts w:ascii="Verdana" w:eastAsia="Verdana" w:hAnsi="Verdana" w:cs="Verdana"/>
          <w:sz w:val="20"/>
          <w:szCs w:val="20"/>
        </w:rPr>
        <w:t>assessment strategy. A consistent and practical algorithm for updating the corruption risk register is developed, based on corruption risk analysis and accumulated experience”.</w:t>
      </w:r>
    </w:p>
    <w:p w14:paraId="74F31B4F" w14:textId="77777777" w:rsidR="001E4803" w:rsidRDefault="001E4803" w:rsidP="001E4803">
      <w:pPr>
        <w:jc w:val="both"/>
        <w:rPr>
          <w:rFonts w:ascii="Verdana" w:eastAsia="Verdana" w:hAnsi="Verdana" w:cs="Verdana"/>
          <w:sz w:val="20"/>
          <w:szCs w:val="20"/>
        </w:rPr>
      </w:pPr>
    </w:p>
    <w:p w14:paraId="2D6BA2AE" w14:textId="0CCAF1DB" w:rsidR="001E4803" w:rsidRDefault="001E4803" w:rsidP="001E4803">
      <w:pPr>
        <w:jc w:val="both"/>
        <w:rPr>
          <w:rFonts w:ascii="Verdana" w:eastAsia="Verdana" w:hAnsi="Verdana" w:cs="Verdana"/>
          <w:sz w:val="20"/>
          <w:szCs w:val="20"/>
        </w:rPr>
      </w:pPr>
      <w:r>
        <w:rPr>
          <w:rFonts w:ascii="Verdana" w:eastAsia="Verdana" w:hAnsi="Verdana" w:cs="Verdana"/>
          <w:sz w:val="20"/>
          <w:szCs w:val="20"/>
        </w:rPr>
        <w:t xml:space="preserve">In this regard, to ensure the effective implementation of Requirement 0204, there is a need to engage support aimed at revising and enhancing the corruption risk management methodology in the security and </w:t>
      </w:r>
      <w:proofErr w:type="spellStart"/>
      <w:r>
        <w:rPr>
          <w:rFonts w:ascii="Verdana" w:eastAsia="Verdana" w:hAnsi="Verdana" w:cs="Verdana"/>
          <w:sz w:val="20"/>
          <w:szCs w:val="20"/>
        </w:rPr>
        <w:t>defence</w:t>
      </w:r>
      <w:proofErr w:type="spellEnd"/>
      <w:r>
        <w:rPr>
          <w:rFonts w:ascii="Verdana" w:eastAsia="Verdana" w:hAnsi="Verdana" w:cs="Verdana"/>
          <w:sz w:val="20"/>
          <w:szCs w:val="20"/>
        </w:rPr>
        <w:t xml:space="preserve"> sector. This includes, inter alia, the development of a research study on good practices in this field, as well as the </w:t>
      </w:r>
      <w:proofErr w:type="spellStart"/>
      <w:r>
        <w:rPr>
          <w:rFonts w:ascii="Verdana" w:eastAsia="Verdana" w:hAnsi="Verdana" w:cs="Verdana"/>
          <w:sz w:val="20"/>
          <w:szCs w:val="20"/>
        </w:rPr>
        <w:t>organisation</w:t>
      </w:r>
      <w:proofErr w:type="spellEnd"/>
      <w:r>
        <w:rPr>
          <w:rFonts w:ascii="Verdana" w:eastAsia="Verdana" w:hAnsi="Verdana" w:cs="Verdana"/>
          <w:sz w:val="20"/>
          <w:szCs w:val="20"/>
        </w:rPr>
        <w:t xml:space="preserve"> of roundtables and discussions to consolidate inputs and develop joint proposals.</w:t>
      </w:r>
    </w:p>
    <w:p w14:paraId="4B4B0429" w14:textId="77777777" w:rsidR="00E46FE0" w:rsidRDefault="00E46FE0" w:rsidP="001E4803">
      <w:pPr>
        <w:jc w:val="both"/>
        <w:rPr>
          <w:rFonts w:ascii="Verdana" w:eastAsia="Verdana" w:hAnsi="Verdana" w:cs="Verdana"/>
          <w:sz w:val="20"/>
          <w:szCs w:val="20"/>
        </w:rPr>
      </w:pPr>
    </w:p>
    <w:p w14:paraId="154CC627" w14:textId="17EB6B78" w:rsidR="001E4803" w:rsidRDefault="001E4803" w:rsidP="00E46FE0">
      <w:pPr>
        <w:jc w:val="both"/>
        <w:rPr>
          <w:rFonts w:ascii="Verdana" w:eastAsia="Verdana" w:hAnsi="Verdana" w:cs="Verdana"/>
          <w:sz w:val="20"/>
          <w:szCs w:val="20"/>
        </w:rPr>
      </w:pPr>
      <w:r w:rsidRPr="00E46FE0">
        <w:rPr>
          <w:rFonts w:ascii="Verdana" w:eastAsia="Verdana" w:hAnsi="Verdana" w:cs="Verdana"/>
          <w:sz w:val="20"/>
          <w:szCs w:val="20"/>
        </w:rPr>
        <w:t xml:space="preserve">The current version of Methodology was officially adopted by NACP Order No. 830/21 dated 18 December 2021. However, its practical application by public </w:t>
      </w:r>
      <w:proofErr w:type="spellStart"/>
      <w:r w:rsidRPr="00E46FE0">
        <w:rPr>
          <w:rFonts w:ascii="Verdana" w:eastAsia="Verdana" w:hAnsi="Verdana" w:cs="Verdana"/>
          <w:sz w:val="20"/>
          <w:szCs w:val="20"/>
        </w:rPr>
        <w:t>defence</w:t>
      </w:r>
      <w:proofErr w:type="spellEnd"/>
      <w:r w:rsidRPr="00E46FE0">
        <w:rPr>
          <w:rFonts w:ascii="Verdana" w:eastAsia="Verdana" w:hAnsi="Verdana" w:cs="Verdana"/>
          <w:sz w:val="20"/>
          <w:szCs w:val="20"/>
        </w:rPr>
        <w:t xml:space="preserve"> institutions - including the Ministry of Defence, the Ministry of Internal Affairs, the State Border Guard Service, etc., and state-owned enterprises in the </w:t>
      </w:r>
      <w:proofErr w:type="spellStart"/>
      <w:r w:rsidRPr="00E46FE0">
        <w:rPr>
          <w:rFonts w:ascii="Verdana" w:eastAsia="Verdana" w:hAnsi="Verdana" w:cs="Verdana"/>
          <w:sz w:val="20"/>
          <w:szCs w:val="20"/>
        </w:rPr>
        <w:t>defence</w:t>
      </w:r>
      <w:proofErr w:type="spellEnd"/>
      <w:r w:rsidRPr="00E46FE0">
        <w:rPr>
          <w:rFonts w:ascii="Verdana" w:eastAsia="Verdana" w:hAnsi="Verdana" w:cs="Verdana"/>
          <w:sz w:val="20"/>
          <w:szCs w:val="20"/>
        </w:rPr>
        <w:t xml:space="preserve"> sector - has revealed a number of challenges. </w:t>
      </w:r>
    </w:p>
    <w:p w14:paraId="3D869484" w14:textId="77777777" w:rsidR="00E46FE0" w:rsidRPr="00E46FE0" w:rsidRDefault="00E46FE0" w:rsidP="00E46FE0">
      <w:pPr>
        <w:jc w:val="both"/>
        <w:rPr>
          <w:rFonts w:ascii="Verdana" w:eastAsia="Verdana" w:hAnsi="Verdana" w:cs="Verdana"/>
          <w:sz w:val="20"/>
          <w:szCs w:val="20"/>
        </w:rPr>
      </w:pPr>
    </w:p>
    <w:p w14:paraId="3D5A90F2" w14:textId="77777777" w:rsidR="001E4803" w:rsidRPr="00E46FE0" w:rsidRDefault="001E4803" w:rsidP="00E46FE0">
      <w:pPr>
        <w:jc w:val="both"/>
        <w:rPr>
          <w:rFonts w:ascii="Verdana" w:eastAsia="Verdana" w:hAnsi="Verdana" w:cs="Verdana"/>
          <w:sz w:val="20"/>
          <w:szCs w:val="20"/>
        </w:rPr>
      </w:pPr>
      <w:r w:rsidRPr="00E46FE0">
        <w:rPr>
          <w:rFonts w:ascii="Verdana" w:eastAsia="Verdana" w:hAnsi="Verdana" w:cs="Verdana"/>
          <w:sz w:val="20"/>
          <w:szCs w:val="20"/>
        </w:rPr>
        <w:t>In particular, certain provisions of the methodology have proven difficult or, in some cases, impossible to implement due to objective constraints, which has created practical obstacles and reduced its overall effectiveness. In addition, the methodology does not adequately reflect the specifics of the functioning of the sector under martial law conditions, which further affects its relevance and applicability.</w:t>
      </w:r>
    </w:p>
    <w:p w14:paraId="767BFE94" w14:textId="77777777" w:rsidR="001E4803" w:rsidRPr="001E4803" w:rsidRDefault="001E4803" w:rsidP="001E4803">
      <w:pPr>
        <w:spacing w:line="240" w:lineRule="auto"/>
        <w:jc w:val="both"/>
        <w:rPr>
          <w:rFonts w:ascii="Verdana" w:eastAsia="Verdana" w:hAnsi="Verdana" w:cs="Verdana"/>
          <w:sz w:val="20"/>
          <w:szCs w:val="20"/>
          <w:lang w:val="en-GB"/>
        </w:rPr>
      </w:pPr>
    </w:p>
    <w:p w14:paraId="0779BDF2" w14:textId="6B75BAA4" w:rsidR="00F30FA7" w:rsidRDefault="00F30FA7" w:rsidP="00F30FA7">
      <w:pPr>
        <w:spacing w:line="240" w:lineRule="auto"/>
        <w:jc w:val="both"/>
        <w:rPr>
          <w:rFonts w:ascii="Verdana" w:eastAsia="Verdana" w:hAnsi="Verdana" w:cs="Verdana"/>
          <w:b/>
          <w:bCs/>
          <w:sz w:val="20"/>
          <w:szCs w:val="20"/>
          <w:u w:val="single"/>
        </w:rPr>
      </w:pPr>
      <w:r w:rsidRPr="001C6F8B">
        <w:rPr>
          <w:rFonts w:ascii="Verdana" w:eastAsia="Verdana" w:hAnsi="Verdana" w:cs="Verdana"/>
          <w:b/>
          <w:bCs/>
          <w:sz w:val="20"/>
          <w:szCs w:val="20"/>
          <w:u w:val="single"/>
        </w:rPr>
        <w:t>Objective</w:t>
      </w:r>
    </w:p>
    <w:p w14:paraId="1E860F01" w14:textId="77777777" w:rsidR="000341DB" w:rsidRDefault="000341DB" w:rsidP="00F30FA7">
      <w:pPr>
        <w:spacing w:line="240" w:lineRule="auto"/>
        <w:jc w:val="both"/>
        <w:rPr>
          <w:rFonts w:ascii="Verdana" w:eastAsia="Verdana" w:hAnsi="Verdana" w:cs="Verdana"/>
          <w:b/>
          <w:bCs/>
          <w:sz w:val="20"/>
          <w:szCs w:val="20"/>
          <w:u w:val="single"/>
        </w:rPr>
      </w:pPr>
    </w:p>
    <w:p w14:paraId="7BAA0003" w14:textId="348FB69F" w:rsidR="000341DB" w:rsidRDefault="00E46FE0" w:rsidP="000341DB">
      <w:pPr>
        <w:jc w:val="both"/>
        <w:rPr>
          <w:rFonts w:ascii="Verdana" w:eastAsia="Verdana" w:hAnsi="Verdana" w:cs="Verdana"/>
          <w:sz w:val="20"/>
          <w:szCs w:val="20"/>
        </w:rPr>
      </w:pPr>
      <w:r w:rsidRPr="00F20FC9">
        <w:rPr>
          <w:rFonts w:ascii="Verdana" w:eastAsia="Verdana" w:hAnsi="Verdana" w:cs="Verdana"/>
          <w:sz w:val="20"/>
          <w:szCs w:val="20"/>
        </w:rPr>
        <w:t xml:space="preserve">The objective of this assignment is to provide comprehensive expert support to the NACP in reviewing and enhancing the existing corruption risk assessment and management methodology for the security and </w:t>
      </w:r>
      <w:proofErr w:type="spellStart"/>
      <w:r w:rsidRPr="00F20FC9">
        <w:rPr>
          <w:rFonts w:ascii="Verdana" w:eastAsia="Verdana" w:hAnsi="Verdana" w:cs="Verdana"/>
          <w:sz w:val="20"/>
          <w:szCs w:val="20"/>
        </w:rPr>
        <w:t>defence</w:t>
      </w:r>
      <w:proofErr w:type="spellEnd"/>
      <w:r w:rsidRPr="00F20FC9">
        <w:rPr>
          <w:rFonts w:ascii="Verdana" w:eastAsia="Verdana" w:hAnsi="Verdana" w:cs="Verdana"/>
          <w:sz w:val="20"/>
          <w:szCs w:val="20"/>
        </w:rPr>
        <w:t xml:space="preserve"> sector, in line with international good practices, NATO requirements and standards, and the specific institutional context of Ukraine.</w:t>
      </w:r>
    </w:p>
    <w:p w14:paraId="085DB68D" w14:textId="77777777" w:rsidR="000341DB" w:rsidRPr="00F20FC9" w:rsidRDefault="000341DB" w:rsidP="00F20FC9">
      <w:pPr>
        <w:jc w:val="both"/>
        <w:rPr>
          <w:rFonts w:ascii="Verdana" w:eastAsia="Verdana" w:hAnsi="Verdana" w:cs="Verdana"/>
          <w:sz w:val="20"/>
          <w:szCs w:val="20"/>
        </w:rPr>
      </w:pPr>
    </w:p>
    <w:p w14:paraId="7514ABA7" w14:textId="77777777" w:rsidR="00E46FE0" w:rsidRPr="00F20FC9" w:rsidRDefault="00E46FE0" w:rsidP="00F20FC9">
      <w:pPr>
        <w:jc w:val="both"/>
        <w:rPr>
          <w:rFonts w:ascii="Verdana" w:eastAsia="Verdana" w:hAnsi="Verdana" w:cs="Verdana"/>
          <w:sz w:val="20"/>
          <w:szCs w:val="20"/>
        </w:rPr>
      </w:pPr>
      <w:r w:rsidRPr="00F20FC9">
        <w:rPr>
          <w:rFonts w:ascii="Verdana" w:eastAsia="Verdana" w:hAnsi="Verdana" w:cs="Verdana"/>
          <w:sz w:val="20"/>
          <w:szCs w:val="20"/>
        </w:rPr>
        <w:t xml:space="preserve">The assignment aims to support the development of a unified, practical, and implementable approach to corruption risk assessment across security and </w:t>
      </w:r>
      <w:proofErr w:type="spellStart"/>
      <w:r w:rsidRPr="00F20FC9">
        <w:rPr>
          <w:rFonts w:ascii="Verdana" w:eastAsia="Verdana" w:hAnsi="Verdana" w:cs="Verdana"/>
          <w:sz w:val="20"/>
          <w:szCs w:val="20"/>
        </w:rPr>
        <w:t>defence</w:t>
      </w:r>
      <w:proofErr w:type="spellEnd"/>
      <w:r w:rsidRPr="00F20FC9">
        <w:rPr>
          <w:rFonts w:ascii="Verdana" w:eastAsia="Verdana" w:hAnsi="Verdana" w:cs="Verdana"/>
          <w:sz w:val="20"/>
          <w:szCs w:val="20"/>
        </w:rPr>
        <w:t xml:space="preserve"> sector institutions, including strengthening methodological guidance, integrating risk-based approaches into anti-corruption </w:t>
      </w:r>
      <w:proofErr w:type="spellStart"/>
      <w:r w:rsidRPr="00F20FC9">
        <w:rPr>
          <w:rFonts w:ascii="Verdana" w:eastAsia="Verdana" w:hAnsi="Verdana" w:cs="Verdana"/>
          <w:sz w:val="20"/>
          <w:szCs w:val="20"/>
        </w:rPr>
        <w:t>programmes</w:t>
      </w:r>
      <w:proofErr w:type="spellEnd"/>
      <w:r w:rsidRPr="00F20FC9">
        <w:rPr>
          <w:rFonts w:ascii="Verdana" w:eastAsia="Verdana" w:hAnsi="Verdana" w:cs="Verdana"/>
          <w:sz w:val="20"/>
          <w:szCs w:val="20"/>
        </w:rPr>
        <w:t>, and ensuring alignment with NATO Interoperability Requirement 0204 “Integrity Building”.</w:t>
      </w:r>
    </w:p>
    <w:p w14:paraId="350A2439" w14:textId="29630DC4" w:rsidR="00E46FE0" w:rsidRPr="00F00B18" w:rsidRDefault="00E46FE0" w:rsidP="00E46FE0">
      <w:pPr>
        <w:pStyle w:val="Heading1"/>
        <w:rPr>
          <w:rFonts w:ascii="Verdana" w:eastAsiaTheme="minorHAnsi" w:hAnsi="Verdana" w:cs="Calibri"/>
          <w:b/>
          <w:bCs/>
          <w:sz w:val="20"/>
          <w:szCs w:val="20"/>
          <w:u w:val="single"/>
          <w:lang w:val="en-GB"/>
        </w:rPr>
      </w:pPr>
      <w:r w:rsidRPr="00F00B18">
        <w:rPr>
          <w:rFonts w:ascii="Verdana" w:eastAsiaTheme="minorHAnsi" w:hAnsi="Verdana" w:cs="Calibri"/>
          <w:b/>
          <w:bCs/>
          <w:sz w:val="20"/>
          <w:szCs w:val="20"/>
          <w:u w:val="single"/>
          <w:lang w:val="en-GB"/>
        </w:rPr>
        <w:lastRenderedPageBreak/>
        <w:t xml:space="preserve">Specific </w:t>
      </w:r>
      <w:r w:rsidR="00921631">
        <w:rPr>
          <w:rFonts w:ascii="Verdana" w:eastAsiaTheme="minorHAnsi" w:hAnsi="Verdana" w:cs="Calibri"/>
          <w:b/>
          <w:bCs/>
          <w:sz w:val="20"/>
          <w:szCs w:val="20"/>
          <w:u w:val="single"/>
          <w:lang w:val="en-GB"/>
        </w:rPr>
        <w:t>o</w:t>
      </w:r>
      <w:r w:rsidRPr="00F00B18">
        <w:rPr>
          <w:rFonts w:ascii="Verdana" w:eastAsiaTheme="minorHAnsi" w:hAnsi="Verdana" w:cs="Calibri"/>
          <w:b/>
          <w:bCs/>
          <w:sz w:val="20"/>
          <w:szCs w:val="20"/>
          <w:u w:val="single"/>
          <w:lang w:val="en-GB"/>
        </w:rPr>
        <w:t>bjectives</w:t>
      </w:r>
    </w:p>
    <w:p w14:paraId="611C709A" w14:textId="77777777" w:rsidR="00E46FE0" w:rsidRPr="00F00B18" w:rsidRDefault="00E46FE0" w:rsidP="00F00B18">
      <w:p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For the purpose of ensuring the effective implementation of this assignment, the following specific objectives are to be achieved:</w:t>
      </w:r>
    </w:p>
    <w:p w14:paraId="1B18B23E" w14:textId="77777777" w:rsidR="00E46FE0" w:rsidRPr="00F00B18" w:rsidRDefault="00E46FE0" w:rsidP="00E46FE0">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 xml:space="preserve">To conduct a comprehensive analysis of the existing corruption risk management methodology applied in the security and defence sector, identifying key gaps, inconsistencies, and practical implementation challenges; </w:t>
      </w:r>
    </w:p>
    <w:p w14:paraId="1D7AB663" w14:textId="77777777" w:rsidR="00E46FE0" w:rsidRPr="00F00B18" w:rsidRDefault="00E46FE0" w:rsidP="00E46FE0">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 xml:space="preserve">To review relevant international standards and good practices in corruption risk assessment and integrity building, including NATO, OECD, and EU approaches, and assess their applicability to the Ukrainian context; </w:t>
      </w:r>
    </w:p>
    <w:p w14:paraId="07B3C0D8" w14:textId="77777777" w:rsidR="00E46FE0" w:rsidRPr="00F00B18" w:rsidRDefault="00E46FE0" w:rsidP="00E46FE0">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 xml:space="preserve">To develop well-founded and practical recommendations for improving the corruption risk assessment and management methodology, tailored to the specific needs and operational realities of security and defence sector institutions; </w:t>
      </w:r>
    </w:p>
    <w:p w14:paraId="15F9DFE2" w14:textId="77777777" w:rsidR="00E46FE0" w:rsidRPr="00F00B18" w:rsidRDefault="00E46FE0" w:rsidP="00E46FE0">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 xml:space="preserve">To support the development of a unified, coherent, and implementable approach to corruption risk identification, assessment, and mitigation, including the use of risk registers and monitoring mechanisms; </w:t>
      </w:r>
    </w:p>
    <w:p w14:paraId="2E0EAA88" w14:textId="77777777" w:rsidR="00E46FE0" w:rsidRPr="00F00B18" w:rsidRDefault="00E46FE0" w:rsidP="00E46FE0">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F00B18">
        <w:rPr>
          <w:rFonts w:ascii="Verdana" w:eastAsiaTheme="minorHAnsi" w:hAnsi="Verdana" w:cs="Calibri"/>
          <w:sz w:val="20"/>
          <w:szCs w:val="20"/>
          <w:lang w:val="en-GB"/>
        </w:rPr>
        <w:t>To facilitate structured consultations with key stakeholders in order to identify additional gaps, inconsistencies, and practical constraints in the application of the methodology, and to ensure that the proposed updates are aligned with the needs, operational realities, and practical experience of security and defence sector institutions.</w:t>
      </w:r>
    </w:p>
    <w:p w14:paraId="06F192CA" w14:textId="2008F146" w:rsidR="002C23BD" w:rsidRPr="00F00B18" w:rsidRDefault="00E46FE0" w:rsidP="00F00B18">
      <w:pPr>
        <w:numPr>
          <w:ilvl w:val="0"/>
          <w:numId w:val="19"/>
        </w:numPr>
        <w:spacing w:before="100" w:beforeAutospacing="1" w:after="100" w:afterAutospacing="1" w:line="240" w:lineRule="auto"/>
        <w:rPr>
          <w:rFonts w:ascii="Verdana" w:eastAsiaTheme="minorHAnsi" w:hAnsi="Verdana" w:cs="Calibri"/>
          <w:sz w:val="20"/>
          <w:szCs w:val="20"/>
          <w:lang w:val="en-GB"/>
        </w:rPr>
      </w:pPr>
      <w:r w:rsidRPr="00F00B18">
        <w:rPr>
          <w:rFonts w:ascii="Verdana" w:eastAsiaTheme="minorHAnsi" w:hAnsi="Verdana" w:cs="Calibri"/>
          <w:sz w:val="20"/>
          <w:szCs w:val="20"/>
          <w:lang w:val="en-GB"/>
        </w:rPr>
        <w:t xml:space="preserve">To contribute to the effective implementation of NATO Interoperability Requirement 0204 “Integrity Building” and the measures defined in the Unified Action Plan. </w:t>
      </w:r>
    </w:p>
    <w:p w14:paraId="1B0619D3" w14:textId="2A0CB24A" w:rsidR="00F30FA7" w:rsidRDefault="00554EB8" w:rsidP="00554EB8">
      <w:pPr>
        <w:pStyle w:val="Heading1"/>
        <w:keepNext w:val="0"/>
        <w:keepLines w:val="0"/>
        <w:widowControl w:val="0"/>
        <w:spacing w:before="120"/>
        <w:jc w:val="both"/>
        <w:rPr>
          <w:rFonts w:ascii="Verdana" w:eastAsia="Verdana" w:hAnsi="Verdana" w:cs="Verdana"/>
          <w:b/>
          <w:sz w:val="20"/>
          <w:szCs w:val="20"/>
          <w:u w:val="single"/>
        </w:rPr>
      </w:pPr>
      <w:r w:rsidRPr="001C6F8B">
        <w:rPr>
          <w:rFonts w:ascii="Verdana" w:eastAsia="Verdana" w:hAnsi="Verdana" w:cs="Verdana"/>
          <w:b/>
          <w:sz w:val="20"/>
          <w:szCs w:val="20"/>
          <w:u w:val="single"/>
        </w:rPr>
        <w:t>Scope of work</w:t>
      </w:r>
    </w:p>
    <w:p w14:paraId="210AD5D2" w14:textId="373B1B4D" w:rsidR="00596BCB" w:rsidRDefault="00596BCB" w:rsidP="00596BCB">
      <w:pPr>
        <w:pStyle w:val="NormalWeb"/>
      </w:pPr>
      <w:bookmarkStart w:id="1" w:name="_Hlk229480741"/>
      <w:r w:rsidRPr="00596BCB">
        <w:rPr>
          <w:rFonts w:ascii="Verdana" w:eastAsiaTheme="minorHAnsi" w:hAnsi="Verdana" w:cs="Calibri"/>
          <w:sz w:val="20"/>
          <w:szCs w:val="20"/>
        </w:rPr>
        <w:t xml:space="preserve">The assignment is expected to include the following key </w:t>
      </w:r>
      <w:r>
        <w:rPr>
          <w:rFonts w:ascii="Verdana" w:eastAsiaTheme="minorHAnsi" w:hAnsi="Verdana" w:cs="Calibri"/>
          <w:sz w:val="20"/>
          <w:szCs w:val="20"/>
        </w:rPr>
        <w:t>tasks</w:t>
      </w:r>
      <w:r>
        <w:t>:</w:t>
      </w:r>
    </w:p>
    <w:p w14:paraId="1D383341" w14:textId="307573F7" w:rsidR="006B1F82" w:rsidRDefault="006B1F82" w:rsidP="006B1F82">
      <w:pPr>
        <w:pStyle w:val="NormalWeb"/>
        <w:jc w:val="both"/>
        <w:rPr>
          <w:rFonts w:ascii="Verdana" w:eastAsiaTheme="minorHAnsi" w:hAnsi="Verdana" w:cs="Calibri"/>
          <w:sz w:val="20"/>
          <w:szCs w:val="20"/>
        </w:rPr>
      </w:pPr>
      <w:r>
        <w:rPr>
          <w:rFonts w:ascii="Verdana" w:hAnsi="Verdana"/>
          <w:sz w:val="20"/>
          <w:szCs w:val="20"/>
          <w:u w:val="single"/>
        </w:rPr>
        <w:t xml:space="preserve">1. </w:t>
      </w:r>
      <w:r w:rsidRPr="00596BCB">
        <w:rPr>
          <w:rFonts w:ascii="Verdana" w:hAnsi="Verdana"/>
          <w:sz w:val="20"/>
          <w:szCs w:val="20"/>
          <w:u w:val="single"/>
        </w:rPr>
        <w:t xml:space="preserve">Development a good practice research paper </w:t>
      </w:r>
      <w:r>
        <w:rPr>
          <w:rFonts w:ascii="Verdana" w:hAnsi="Verdana"/>
          <w:sz w:val="20"/>
          <w:szCs w:val="20"/>
          <w:u w:val="single"/>
        </w:rPr>
        <w:t xml:space="preserve">(guidance, toolkit, etc.) </w:t>
      </w:r>
      <w:r w:rsidRPr="00596BCB">
        <w:rPr>
          <w:rFonts w:ascii="Verdana" w:hAnsi="Verdana"/>
          <w:sz w:val="20"/>
          <w:szCs w:val="20"/>
          <w:u w:val="single"/>
        </w:rPr>
        <w:t xml:space="preserve">on corruption risk </w:t>
      </w:r>
      <w:r>
        <w:rPr>
          <w:rFonts w:ascii="Verdana" w:hAnsi="Verdana"/>
          <w:sz w:val="20"/>
          <w:szCs w:val="20"/>
          <w:u w:val="single"/>
        </w:rPr>
        <w:t>assessment</w:t>
      </w:r>
      <w:r w:rsidRPr="00596BCB">
        <w:rPr>
          <w:rFonts w:ascii="Verdana" w:hAnsi="Verdana"/>
          <w:sz w:val="20"/>
          <w:szCs w:val="20"/>
          <w:u w:val="single"/>
        </w:rPr>
        <w:t xml:space="preserve"> methodology </w:t>
      </w:r>
      <w:r>
        <w:rPr>
          <w:rFonts w:ascii="Verdana" w:hAnsi="Verdana"/>
          <w:sz w:val="20"/>
          <w:szCs w:val="20"/>
          <w:u w:val="single"/>
        </w:rPr>
        <w:t>for the defence and security sector</w:t>
      </w:r>
      <w:r w:rsidRPr="00596BCB">
        <w:rPr>
          <w:rFonts w:ascii="Verdana" w:eastAsiaTheme="minorHAnsi" w:hAnsi="Verdana" w:cs="Calibri"/>
          <w:sz w:val="20"/>
          <w:szCs w:val="20"/>
        </w:rPr>
        <w:t xml:space="preserve"> </w:t>
      </w:r>
    </w:p>
    <w:p w14:paraId="0C246E62" w14:textId="419571B6" w:rsidR="00596BCB" w:rsidRPr="00596BCB" w:rsidRDefault="00596BCB" w:rsidP="00596BCB">
      <w:pPr>
        <w:pStyle w:val="NormalWeb"/>
        <w:rPr>
          <w:rFonts w:ascii="Verdana" w:eastAsiaTheme="minorHAnsi" w:hAnsi="Verdana" w:cs="Calibri"/>
          <w:sz w:val="20"/>
          <w:szCs w:val="20"/>
        </w:rPr>
      </w:pPr>
      <w:r w:rsidRPr="00596BCB">
        <w:rPr>
          <w:rFonts w:ascii="Verdana" w:eastAsiaTheme="minorHAnsi" w:hAnsi="Verdana" w:cs="Calibri"/>
          <w:sz w:val="20"/>
          <w:szCs w:val="20"/>
        </w:rPr>
        <w:t>The task line shall include, but not be limited to:</w:t>
      </w:r>
    </w:p>
    <w:p w14:paraId="15C4F2C4" w14:textId="36C87AB0" w:rsidR="00596BCB" w:rsidRPr="00596BCB" w:rsidRDefault="00596BCB" w:rsidP="00596BCB">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596BCB">
        <w:rPr>
          <w:rFonts w:ascii="Verdana" w:eastAsiaTheme="minorHAnsi" w:hAnsi="Verdana" w:cs="Calibri"/>
          <w:sz w:val="20"/>
          <w:szCs w:val="20"/>
          <w:lang w:val="en-GB"/>
        </w:rPr>
        <w:t xml:space="preserve">Conceptualisation of the paper in close coordination with the </w:t>
      </w:r>
      <w:r>
        <w:rPr>
          <w:rFonts w:ascii="Verdana" w:eastAsiaTheme="minorHAnsi" w:hAnsi="Verdana" w:cs="Calibri"/>
          <w:sz w:val="20"/>
          <w:szCs w:val="20"/>
          <w:lang w:val="en-GB"/>
        </w:rPr>
        <w:t xml:space="preserve">NACP </w:t>
      </w:r>
      <w:r w:rsidRPr="00596BCB">
        <w:rPr>
          <w:rFonts w:ascii="Verdana" w:eastAsiaTheme="minorHAnsi" w:hAnsi="Verdana" w:cs="Calibri"/>
          <w:sz w:val="20"/>
          <w:szCs w:val="20"/>
          <w:lang w:val="en-GB"/>
        </w:rPr>
        <w:t xml:space="preserve">and relevant stakeholders, including initial consultations and background review; </w:t>
      </w:r>
    </w:p>
    <w:p w14:paraId="39FFC3DD" w14:textId="77777777" w:rsidR="00596BCB" w:rsidRDefault="00596BCB" w:rsidP="00596BCB">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596BCB">
        <w:rPr>
          <w:rFonts w:ascii="Verdana" w:eastAsiaTheme="minorHAnsi" w:hAnsi="Verdana" w:cs="Calibri"/>
          <w:sz w:val="20"/>
          <w:szCs w:val="20"/>
          <w:lang w:val="en-GB"/>
        </w:rPr>
        <w:t xml:space="preserve">Desk research and literature review of international standards and practices (including NATO, OECD, EU frameworks); </w:t>
      </w:r>
    </w:p>
    <w:p w14:paraId="4A6AF382" w14:textId="2555A213" w:rsidR="00596BCB" w:rsidRPr="000341DB" w:rsidRDefault="00596BCB" w:rsidP="00596BCB">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596BCB">
        <w:rPr>
          <w:rFonts w:ascii="Verdana" w:eastAsiaTheme="minorHAnsi" w:hAnsi="Verdana" w:cs="Calibri"/>
          <w:sz w:val="20"/>
          <w:szCs w:val="20"/>
          <w:lang w:val="en-GB"/>
        </w:rPr>
        <w:t xml:space="preserve">Conducting virtual interviews with selected stakeholders and subject-matter experts (estimated up to 5 interviews) to collect practical insights and identify implementation </w:t>
      </w:r>
      <w:r w:rsidRPr="000341DB">
        <w:rPr>
          <w:rFonts w:ascii="Verdana" w:eastAsiaTheme="minorHAnsi" w:hAnsi="Verdana" w:cs="Calibri"/>
          <w:sz w:val="20"/>
          <w:szCs w:val="20"/>
          <w:lang w:val="en-GB"/>
        </w:rPr>
        <w:t xml:space="preserve">challenges; </w:t>
      </w:r>
    </w:p>
    <w:p w14:paraId="613783C0" w14:textId="0F84A62C" w:rsidR="00596BCB" w:rsidRPr="000341DB" w:rsidRDefault="00596BCB" w:rsidP="00596BCB">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0341DB">
        <w:rPr>
          <w:rFonts w:ascii="Verdana" w:eastAsiaTheme="minorHAnsi" w:hAnsi="Verdana" w:cs="Calibri"/>
          <w:sz w:val="20"/>
          <w:szCs w:val="20"/>
          <w:lang w:val="en-GB"/>
        </w:rPr>
        <w:t>Preparation of a draft research paper (approximately 8,000–10,000 words) containing analysis, comparative review, and practical recommendations for improving the current methodology;</w:t>
      </w:r>
    </w:p>
    <w:p w14:paraId="74070930" w14:textId="77777777" w:rsidR="00596BCB" w:rsidRPr="00596BCB" w:rsidRDefault="00596BCB" w:rsidP="00596BCB">
      <w:pPr>
        <w:numPr>
          <w:ilvl w:val="0"/>
          <w:numId w:val="19"/>
        </w:numPr>
        <w:spacing w:before="100" w:beforeAutospacing="1" w:after="100" w:afterAutospacing="1" w:line="240" w:lineRule="auto"/>
        <w:rPr>
          <w:rFonts w:ascii="Verdana" w:eastAsiaTheme="minorHAnsi" w:hAnsi="Verdana" w:cs="Calibri"/>
          <w:sz w:val="20"/>
          <w:szCs w:val="20"/>
          <w:lang w:val="en-GB"/>
        </w:rPr>
      </w:pPr>
      <w:r w:rsidRPr="00596BCB">
        <w:rPr>
          <w:rFonts w:ascii="Verdana" w:eastAsiaTheme="minorHAnsi" w:hAnsi="Verdana" w:cs="Calibri"/>
          <w:sz w:val="20"/>
          <w:szCs w:val="20"/>
          <w:lang w:val="en-GB"/>
        </w:rPr>
        <w:t xml:space="preserve">Incorporation of feedback based on the first round of comments and review; </w:t>
      </w:r>
    </w:p>
    <w:p w14:paraId="4CF87EBB" w14:textId="77777777" w:rsidR="00596BCB" w:rsidRPr="00596BCB" w:rsidRDefault="00596BCB" w:rsidP="00596BCB">
      <w:pPr>
        <w:numPr>
          <w:ilvl w:val="0"/>
          <w:numId w:val="19"/>
        </w:numPr>
        <w:spacing w:before="100" w:beforeAutospacing="1" w:after="100" w:afterAutospacing="1" w:line="240" w:lineRule="auto"/>
        <w:rPr>
          <w:rFonts w:ascii="Verdana" w:eastAsiaTheme="minorHAnsi" w:hAnsi="Verdana" w:cs="Calibri"/>
          <w:sz w:val="20"/>
          <w:szCs w:val="20"/>
          <w:lang w:val="en-GB"/>
        </w:rPr>
      </w:pPr>
      <w:r w:rsidRPr="00596BCB">
        <w:rPr>
          <w:rFonts w:ascii="Verdana" w:eastAsiaTheme="minorHAnsi" w:hAnsi="Verdana" w:cs="Calibri"/>
          <w:sz w:val="20"/>
          <w:szCs w:val="20"/>
          <w:lang w:val="en-GB"/>
        </w:rPr>
        <w:t>Finalisation of the paper following the second round of comments and review.</w:t>
      </w:r>
    </w:p>
    <w:p w14:paraId="490E9C51" w14:textId="724E2307" w:rsidR="004E6066" w:rsidRDefault="004E6066" w:rsidP="004E6066">
      <w:pPr>
        <w:pStyle w:val="NormalWeb"/>
        <w:rPr>
          <w:rFonts w:ascii="Verdana" w:eastAsiaTheme="minorHAnsi" w:hAnsi="Verdana" w:cs="Calibri"/>
          <w:sz w:val="20"/>
          <w:szCs w:val="20"/>
          <w:u w:val="single"/>
        </w:rPr>
      </w:pPr>
      <w:r w:rsidRPr="004E6066">
        <w:rPr>
          <w:rFonts w:ascii="Verdana" w:eastAsiaTheme="minorHAnsi" w:hAnsi="Verdana" w:cs="Calibri"/>
          <w:sz w:val="20"/>
          <w:szCs w:val="20"/>
          <w:u w:val="single"/>
        </w:rPr>
        <w:t xml:space="preserve">2. Stakeholder </w:t>
      </w:r>
      <w:r>
        <w:rPr>
          <w:rFonts w:ascii="Verdana" w:eastAsiaTheme="minorHAnsi" w:hAnsi="Verdana" w:cs="Calibri"/>
          <w:sz w:val="20"/>
          <w:szCs w:val="20"/>
          <w:u w:val="single"/>
        </w:rPr>
        <w:t>c</w:t>
      </w:r>
      <w:r w:rsidRPr="004E6066">
        <w:rPr>
          <w:rFonts w:ascii="Verdana" w:eastAsiaTheme="minorHAnsi" w:hAnsi="Verdana" w:cs="Calibri"/>
          <w:sz w:val="20"/>
          <w:szCs w:val="20"/>
          <w:u w:val="single"/>
        </w:rPr>
        <w:t xml:space="preserve">onsultation </w:t>
      </w:r>
      <w:r>
        <w:rPr>
          <w:rFonts w:ascii="Verdana" w:eastAsiaTheme="minorHAnsi" w:hAnsi="Verdana" w:cs="Calibri"/>
          <w:sz w:val="20"/>
          <w:szCs w:val="20"/>
          <w:u w:val="single"/>
        </w:rPr>
        <w:t>w</w:t>
      </w:r>
      <w:r w:rsidRPr="004E6066">
        <w:rPr>
          <w:rFonts w:ascii="Verdana" w:eastAsiaTheme="minorHAnsi" w:hAnsi="Verdana" w:cs="Calibri"/>
          <w:sz w:val="20"/>
          <w:szCs w:val="20"/>
          <w:u w:val="single"/>
        </w:rPr>
        <w:t>orkshop</w:t>
      </w:r>
      <w:r>
        <w:rPr>
          <w:rFonts w:ascii="Verdana" w:eastAsiaTheme="minorHAnsi" w:hAnsi="Verdana" w:cs="Calibri"/>
          <w:sz w:val="20"/>
          <w:szCs w:val="20"/>
          <w:u w:val="single"/>
        </w:rPr>
        <w:t>s</w:t>
      </w:r>
    </w:p>
    <w:p w14:paraId="5E1136EA" w14:textId="40695D49" w:rsidR="004E6066" w:rsidRDefault="004E6066" w:rsidP="00144FD1">
      <w:p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lastRenderedPageBreak/>
        <w:t xml:space="preserve">The Service Provider shall provide expert support </w:t>
      </w:r>
      <w:r w:rsidR="00144FD1" w:rsidRPr="00144FD1">
        <w:rPr>
          <w:rFonts w:ascii="Verdana" w:eastAsiaTheme="minorHAnsi" w:hAnsi="Verdana" w:cs="Calibri"/>
          <w:sz w:val="20"/>
          <w:szCs w:val="20"/>
          <w:lang w:val="en-GB"/>
        </w:rPr>
        <w:t xml:space="preserve">for the organisation of </w:t>
      </w:r>
      <w:r w:rsidR="00EB529A">
        <w:rPr>
          <w:rFonts w:ascii="Verdana" w:eastAsiaTheme="minorHAnsi" w:hAnsi="Verdana" w:cs="Calibri"/>
          <w:sz w:val="20"/>
          <w:szCs w:val="20"/>
          <w:lang w:val="en-GB"/>
        </w:rPr>
        <w:t xml:space="preserve">two-rounds </w:t>
      </w:r>
      <w:r w:rsidR="00144FD1" w:rsidRPr="00144FD1">
        <w:rPr>
          <w:rFonts w:ascii="Verdana" w:eastAsiaTheme="minorHAnsi" w:hAnsi="Verdana" w:cs="Calibri"/>
          <w:sz w:val="20"/>
          <w:szCs w:val="20"/>
          <w:lang w:val="en-GB"/>
        </w:rPr>
        <w:t>stakeholder consultation workshops aimed at strengthening the practical skills of defence sector representatives (in particular, anti-corruption officers and members of corruption risk assessment working groups within defence and security public institutions) in conducting corruption risk assessments, in the context of the research findings, validating the proposed recommendations, and collecting stakeholder input for the further refinement of the methodology.</w:t>
      </w:r>
    </w:p>
    <w:bookmarkEnd w:id="1"/>
    <w:p w14:paraId="62ED7A87" w14:textId="77777777" w:rsidR="00EB529A" w:rsidRPr="00EB529A" w:rsidRDefault="00EB529A" w:rsidP="00EB529A">
      <w:pPr>
        <w:spacing w:before="100" w:beforeAutospacing="1" w:after="100" w:afterAutospacing="1" w:line="240" w:lineRule="auto"/>
        <w:jc w:val="both"/>
        <w:rPr>
          <w:rFonts w:ascii="Verdana" w:eastAsiaTheme="minorHAnsi" w:hAnsi="Verdana" w:cs="Calibri"/>
          <w:sz w:val="20"/>
          <w:szCs w:val="20"/>
          <w:lang w:val="en-GB"/>
        </w:rPr>
      </w:pPr>
      <w:r w:rsidRPr="00EB529A">
        <w:rPr>
          <w:rFonts w:ascii="Verdana" w:eastAsiaTheme="minorHAnsi" w:hAnsi="Verdana" w:cs="Calibri"/>
          <w:sz w:val="20"/>
          <w:szCs w:val="20"/>
          <w:lang w:val="en-GB"/>
        </w:rPr>
        <w:t>The stakeholder consultation process shall include the following two rounds:</w:t>
      </w:r>
    </w:p>
    <w:p w14:paraId="4B827737" w14:textId="0AEA1CC5" w:rsidR="00EB529A" w:rsidRPr="00B1092A" w:rsidRDefault="00EB529A" w:rsidP="00EB529A">
      <w:pPr>
        <w:pStyle w:val="Heading3"/>
        <w:rPr>
          <w:rFonts w:ascii="Verdana" w:eastAsiaTheme="minorHAnsi" w:hAnsi="Verdana" w:cs="Calibri"/>
          <w:i/>
          <w:iCs/>
          <w:color w:val="auto"/>
          <w:sz w:val="20"/>
          <w:szCs w:val="20"/>
          <w:lang w:val="en-GB"/>
        </w:rPr>
      </w:pPr>
      <w:r w:rsidRPr="00B1092A">
        <w:rPr>
          <w:rFonts w:ascii="Verdana" w:eastAsiaTheme="minorHAnsi" w:hAnsi="Verdana" w:cs="Calibri"/>
          <w:i/>
          <w:iCs/>
          <w:color w:val="auto"/>
          <w:sz w:val="20"/>
          <w:szCs w:val="20"/>
          <w:lang w:val="en-GB"/>
        </w:rPr>
        <w:t>Workshop 1: Sector-</w:t>
      </w:r>
      <w:r w:rsidR="00B1092A">
        <w:rPr>
          <w:rFonts w:ascii="Verdana" w:eastAsiaTheme="minorHAnsi" w:hAnsi="Verdana" w:cs="Calibri"/>
          <w:i/>
          <w:iCs/>
          <w:color w:val="auto"/>
          <w:sz w:val="20"/>
          <w:szCs w:val="20"/>
          <w:lang w:val="en-GB"/>
        </w:rPr>
        <w:t>f</w:t>
      </w:r>
      <w:r w:rsidRPr="00B1092A">
        <w:rPr>
          <w:rFonts w:ascii="Verdana" w:eastAsiaTheme="minorHAnsi" w:hAnsi="Verdana" w:cs="Calibri"/>
          <w:i/>
          <w:iCs/>
          <w:color w:val="auto"/>
          <w:sz w:val="20"/>
          <w:szCs w:val="20"/>
          <w:lang w:val="en-GB"/>
        </w:rPr>
        <w:t xml:space="preserve">ocused </w:t>
      </w:r>
      <w:r w:rsidR="00B1092A">
        <w:rPr>
          <w:rFonts w:ascii="Verdana" w:eastAsiaTheme="minorHAnsi" w:hAnsi="Verdana" w:cs="Calibri"/>
          <w:i/>
          <w:iCs/>
          <w:color w:val="auto"/>
          <w:sz w:val="20"/>
          <w:szCs w:val="20"/>
          <w:lang w:val="en-GB"/>
        </w:rPr>
        <w:t>i</w:t>
      </w:r>
      <w:r w:rsidRPr="00B1092A">
        <w:rPr>
          <w:rFonts w:ascii="Verdana" w:eastAsiaTheme="minorHAnsi" w:hAnsi="Verdana" w:cs="Calibri"/>
          <w:i/>
          <w:iCs/>
          <w:color w:val="auto"/>
          <w:sz w:val="20"/>
          <w:szCs w:val="20"/>
          <w:lang w:val="en-GB"/>
        </w:rPr>
        <w:t xml:space="preserve">nstitutional </w:t>
      </w:r>
      <w:r w:rsidR="00B1092A">
        <w:rPr>
          <w:rFonts w:ascii="Verdana" w:eastAsiaTheme="minorHAnsi" w:hAnsi="Verdana" w:cs="Calibri"/>
          <w:i/>
          <w:iCs/>
          <w:color w:val="auto"/>
          <w:sz w:val="20"/>
          <w:szCs w:val="20"/>
          <w:lang w:val="en-GB"/>
        </w:rPr>
        <w:t>c</w:t>
      </w:r>
      <w:r w:rsidRPr="00B1092A">
        <w:rPr>
          <w:rFonts w:ascii="Verdana" w:eastAsiaTheme="minorHAnsi" w:hAnsi="Verdana" w:cs="Calibri"/>
          <w:i/>
          <w:iCs/>
          <w:color w:val="auto"/>
          <w:sz w:val="20"/>
          <w:szCs w:val="20"/>
          <w:lang w:val="en-GB"/>
        </w:rPr>
        <w:t>onsultation</w:t>
      </w:r>
    </w:p>
    <w:p w14:paraId="67246194" w14:textId="77777777" w:rsidR="00EB529A" w:rsidRPr="00EB529A" w:rsidRDefault="00EB529A" w:rsidP="00EB529A">
      <w:pPr>
        <w:pStyle w:val="NormalWeb"/>
        <w:jc w:val="both"/>
        <w:rPr>
          <w:rFonts w:ascii="Verdana" w:eastAsiaTheme="minorHAnsi" w:hAnsi="Verdana" w:cs="Calibri"/>
          <w:sz w:val="20"/>
          <w:szCs w:val="20"/>
        </w:rPr>
      </w:pPr>
      <w:r w:rsidRPr="00EB529A">
        <w:rPr>
          <w:rFonts w:ascii="Verdana" w:eastAsiaTheme="minorHAnsi" w:hAnsi="Verdana" w:cs="Calibri"/>
          <w:sz w:val="20"/>
          <w:szCs w:val="20"/>
        </w:rPr>
        <w:t>The first workshop shall be organised with the participation of authorised representatives of security and defence sector public institutions only.</w:t>
      </w:r>
    </w:p>
    <w:p w14:paraId="79C05A7B" w14:textId="7DDE5DAC" w:rsidR="00EB529A" w:rsidRPr="00EB529A" w:rsidRDefault="00EB529A" w:rsidP="00EB529A">
      <w:pPr>
        <w:pStyle w:val="NormalWeb"/>
        <w:rPr>
          <w:rFonts w:ascii="Verdana" w:eastAsiaTheme="minorHAnsi" w:hAnsi="Verdana" w:cs="Calibri"/>
          <w:sz w:val="20"/>
          <w:szCs w:val="20"/>
        </w:rPr>
      </w:pPr>
      <w:r w:rsidRPr="00EB529A">
        <w:rPr>
          <w:rFonts w:ascii="Verdana" w:eastAsiaTheme="minorHAnsi" w:hAnsi="Verdana" w:cs="Calibri"/>
          <w:sz w:val="20"/>
          <w:szCs w:val="20"/>
        </w:rPr>
        <w:t xml:space="preserve">The purpose of this workshop </w:t>
      </w:r>
      <w:r w:rsidR="00B1092A" w:rsidRPr="00B1092A">
        <w:rPr>
          <w:rFonts w:ascii="Verdana" w:eastAsiaTheme="minorHAnsi" w:hAnsi="Verdana" w:cs="Calibri"/>
          <w:sz w:val="20"/>
          <w:szCs w:val="20"/>
        </w:rPr>
        <w:t>shall include, but not be limited to, the following</w:t>
      </w:r>
      <w:r w:rsidRPr="00EB529A">
        <w:rPr>
          <w:rFonts w:ascii="Verdana" w:eastAsiaTheme="minorHAnsi" w:hAnsi="Verdana" w:cs="Calibri"/>
          <w:sz w:val="20"/>
          <w:szCs w:val="20"/>
        </w:rPr>
        <w:t>:</w:t>
      </w:r>
    </w:p>
    <w:p w14:paraId="635C1A37" w14:textId="77777777" w:rsidR="00EB529A" w:rsidRPr="00EB529A" w:rsidRDefault="00EB529A" w:rsidP="00EB529A">
      <w:pPr>
        <w:numPr>
          <w:ilvl w:val="0"/>
          <w:numId w:val="32"/>
        </w:numPr>
        <w:spacing w:before="100" w:beforeAutospacing="1" w:after="100" w:afterAutospacing="1" w:line="240" w:lineRule="auto"/>
        <w:jc w:val="both"/>
        <w:rPr>
          <w:rFonts w:ascii="Verdana" w:eastAsiaTheme="minorHAnsi" w:hAnsi="Verdana" w:cs="Calibri"/>
          <w:sz w:val="20"/>
          <w:szCs w:val="20"/>
          <w:lang w:val="en-GB"/>
        </w:rPr>
      </w:pPr>
      <w:r w:rsidRPr="00EB529A">
        <w:rPr>
          <w:rFonts w:ascii="Verdana" w:eastAsiaTheme="minorHAnsi" w:hAnsi="Verdana" w:cs="Calibri"/>
          <w:sz w:val="20"/>
          <w:szCs w:val="20"/>
          <w:lang w:val="en-GB"/>
        </w:rPr>
        <w:t xml:space="preserve">facilitate an in-depth discussion of practical challenges, limitations, and institutional barriers related to the application of the current corruption risk assessment methodology; </w:t>
      </w:r>
    </w:p>
    <w:p w14:paraId="5F66A1CC" w14:textId="77777777" w:rsidR="00EB529A" w:rsidRPr="00EB529A" w:rsidRDefault="00EB529A" w:rsidP="00EB529A">
      <w:pPr>
        <w:numPr>
          <w:ilvl w:val="0"/>
          <w:numId w:val="32"/>
        </w:numPr>
        <w:spacing w:before="100" w:beforeAutospacing="1" w:after="100" w:afterAutospacing="1" w:line="240" w:lineRule="auto"/>
        <w:jc w:val="both"/>
        <w:rPr>
          <w:rFonts w:ascii="Verdana" w:eastAsiaTheme="minorHAnsi" w:hAnsi="Verdana" w:cs="Calibri"/>
          <w:sz w:val="20"/>
          <w:szCs w:val="20"/>
          <w:lang w:val="en-GB"/>
        </w:rPr>
      </w:pPr>
      <w:r w:rsidRPr="00EB529A">
        <w:rPr>
          <w:rFonts w:ascii="Verdana" w:eastAsiaTheme="minorHAnsi" w:hAnsi="Verdana" w:cs="Calibri"/>
          <w:sz w:val="20"/>
          <w:szCs w:val="20"/>
          <w:lang w:val="en-GB"/>
        </w:rPr>
        <w:t xml:space="preserve">collect sector-specific feedback and practical experience from institutions responsible for implementing corruption risk management measures; </w:t>
      </w:r>
    </w:p>
    <w:p w14:paraId="7F59E593" w14:textId="77777777" w:rsidR="00EB529A" w:rsidRPr="00EB529A" w:rsidRDefault="00EB529A" w:rsidP="00EB529A">
      <w:pPr>
        <w:numPr>
          <w:ilvl w:val="0"/>
          <w:numId w:val="32"/>
        </w:numPr>
        <w:spacing w:before="100" w:beforeAutospacing="1" w:after="100" w:afterAutospacing="1" w:line="240" w:lineRule="auto"/>
        <w:jc w:val="both"/>
        <w:rPr>
          <w:rFonts w:ascii="Verdana" w:eastAsiaTheme="minorHAnsi" w:hAnsi="Verdana" w:cs="Calibri"/>
          <w:sz w:val="20"/>
          <w:szCs w:val="20"/>
          <w:lang w:val="en-GB"/>
        </w:rPr>
      </w:pPr>
      <w:r w:rsidRPr="00EB529A">
        <w:rPr>
          <w:rFonts w:ascii="Verdana" w:eastAsiaTheme="minorHAnsi" w:hAnsi="Verdana" w:cs="Calibri"/>
          <w:sz w:val="20"/>
          <w:szCs w:val="20"/>
          <w:lang w:val="en-GB"/>
        </w:rPr>
        <w:t xml:space="preserve">strengthen institutional understanding and practical capacity related to corruption risk identification and assessment in the security and defence sector; </w:t>
      </w:r>
    </w:p>
    <w:p w14:paraId="36C929C5" w14:textId="77777777" w:rsidR="00EB529A" w:rsidRPr="00EB529A" w:rsidRDefault="00EB529A" w:rsidP="00EB529A">
      <w:pPr>
        <w:numPr>
          <w:ilvl w:val="0"/>
          <w:numId w:val="32"/>
        </w:numPr>
        <w:spacing w:before="100" w:beforeAutospacing="1" w:after="100" w:afterAutospacing="1" w:line="240" w:lineRule="auto"/>
        <w:jc w:val="both"/>
        <w:rPr>
          <w:rFonts w:ascii="Verdana" w:eastAsiaTheme="minorHAnsi" w:hAnsi="Verdana" w:cs="Calibri"/>
          <w:sz w:val="20"/>
          <w:szCs w:val="20"/>
          <w:lang w:val="en-GB"/>
        </w:rPr>
      </w:pPr>
      <w:r w:rsidRPr="00EB529A">
        <w:rPr>
          <w:rFonts w:ascii="Verdana" w:eastAsiaTheme="minorHAnsi" w:hAnsi="Verdana" w:cs="Calibri"/>
          <w:sz w:val="20"/>
          <w:szCs w:val="20"/>
          <w:lang w:val="en-GB"/>
        </w:rPr>
        <w:t xml:space="preserve">identify additional needs, implementation constraints, and practical considerations to be reflected in the proposed methodology improvements. </w:t>
      </w:r>
    </w:p>
    <w:p w14:paraId="60CE6717" w14:textId="7B9B2455" w:rsidR="00EB529A" w:rsidRPr="00B1092A" w:rsidRDefault="00EB529A" w:rsidP="00EB529A">
      <w:pPr>
        <w:pStyle w:val="Heading3"/>
        <w:rPr>
          <w:rFonts w:ascii="Verdana" w:eastAsiaTheme="minorHAnsi" w:hAnsi="Verdana" w:cs="Calibri"/>
          <w:i/>
          <w:iCs/>
          <w:color w:val="auto"/>
          <w:sz w:val="20"/>
          <w:szCs w:val="20"/>
          <w:lang w:val="en-GB"/>
        </w:rPr>
      </w:pPr>
      <w:r w:rsidRPr="00B1092A">
        <w:rPr>
          <w:rFonts w:ascii="Verdana" w:eastAsiaTheme="minorHAnsi" w:hAnsi="Verdana" w:cs="Calibri"/>
          <w:i/>
          <w:iCs/>
          <w:color w:val="auto"/>
          <w:sz w:val="20"/>
          <w:szCs w:val="20"/>
          <w:lang w:val="en-GB"/>
        </w:rPr>
        <w:t xml:space="preserve">Workshop 2: International </w:t>
      </w:r>
      <w:r w:rsidR="00B1092A">
        <w:rPr>
          <w:rFonts w:ascii="Verdana" w:eastAsiaTheme="minorHAnsi" w:hAnsi="Verdana" w:cs="Calibri"/>
          <w:i/>
          <w:iCs/>
          <w:color w:val="auto"/>
          <w:sz w:val="20"/>
          <w:szCs w:val="20"/>
          <w:lang w:val="en-GB"/>
        </w:rPr>
        <w:t>e</w:t>
      </w:r>
      <w:r w:rsidRPr="00B1092A">
        <w:rPr>
          <w:rFonts w:ascii="Verdana" w:eastAsiaTheme="minorHAnsi" w:hAnsi="Verdana" w:cs="Calibri"/>
          <w:i/>
          <w:iCs/>
          <w:color w:val="auto"/>
          <w:sz w:val="20"/>
          <w:szCs w:val="20"/>
          <w:lang w:val="en-GB"/>
        </w:rPr>
        <w:t xml:space="preserve">xpert </w:t>
      </w:r>
      <w:r w:rsidR="00B1092A">
        <w:rPr>
          <w:rFonts w:ascii="Verdana" w:eastAsiaTheme="minorHAnsi" w:hAnsi="Verdana" w:cs="Calibri"/>
          <w:i/>
          <w:iCs/>
          <w:color w:val="auto"/>
          <w:sz w:val="20"/>
          <w:szCs w:val="20"/>
          <w:lang w:val="en-GB"/>
        </w:rPr>
        <w:t>c</w:t>
      </w:r>
      <w:r w:rsidRPr="00B1092A">
        <w:rPr>
          <w:rFonts w:ascii="Verdana" w:eastAsiaTheme="minorHAnsi" w:hAnsi="Verdana" w:cs="Calibri"/>
          <w:i/>
          <w:iCs/>
          <w:color w:val="auto"/>
          <w:sz w:val="20"/>
          <w:szCs w:val="20"/>
          <w:lang w:val="en-GB"/>
        </w:rPr>
        <w:t>onsultation</w:t>
      </w:r>
    </w:p>
    <w:p w14:paraId="6955D05E" w14:textId="77777777" w:rsidR="00EB529A" w:rsidRPr="00B1092A" w:rsidRDefault="00EB529A" w:rsidP="00B1092A">
      <w:pPr>
        <w:pStyle w:val="NormalWeb"/>
        <w:jc w:val="both"/>
        <w:rPr>
          <w:rFonts w:ascii="Verdana" w:eastAsiaTheme="minorHAnsi" w:hAnsi="Verdana" w:cs="Calibri"/>
          <w:sz w:val="20"/>
          <w:szCs w:val="20"/>
        </w:rPr>
      </w:pPr>
      <w:r w:rsidRPr="00B1092A">
        <w:rPr>
          <w:rFonts w:ascii="Verdana" w:eastAsiaTheme="minorHAnsi" w:hAnsi="Verdana" w:cs="Calibri"/>
          <w:sz w:val="20"/>
          <w:szCs w:val="20"/>
        </w:rPr>
        <w:t>The second workshop shall be organised as a professional consultative discussion involving international experts, including experts proposed by the Service Provider, as appropriate.</w:t>
      </w:r>
    </w:p>
    <w:p w14:paraId="1C279F63" w14:textId="4A56B445" w:rsidR="00EB529A" w:rsidRPr="00B1092A" w:rsidRDefault="00EB529A" w:rsidP="00EB529A">
      <w:pPr>
        <w:pStyle w:val="NormalWeb"/>
        <w:rPr>
          <w:rFonts w:ascii="Verdana" w:eastAsiaTheme="minorHAnsi" w:hAnsi="Verdana" w:cs="Calibri"/>
          <w:sz w:val="20"/>
          <w:szCs w:val="20"/>
        </w:rPr>
      </w:pPr>
      <w:r w:rsidRPr="00B1092A">
        <w:rPr>
          <w:rFonts w:ascii="Verdana" w:eastAsiaTheme="minorHAnsi" w:hAnsi="Verdana" w:cs="Calibri"/>
          <w:sz w:val="20"/>
          <w:szCs w:val="20"/>
        </w:rPr>
        <w:t xml:space="preserve">The purpose of this workshop </w:t>
      </w:r>
      <w:r w:rsidR="00B1092A" w:rsidRPr="00B1092A">
        <w:rPr>
          <w:rFonts w:ascii="Verdana" w:eastAsiaTheme="minorHAnsi" w:hAnsi="Verdana" w:cs="Calibri"/>
          <w:sz w:val="20"/>
          <w:szCs w:val="20"/>
        </w:rPr>
        <w:t>shall include, but not be limited to, the following</w:t>
      </w:r>
      <w:r w:rsidRPr="00B1092A">
        <w:rPr>
          <w:rFonts w:ascii="Verdana" w:eastAsiaTheme="minorHAnsi" w:hAnsi="Verdana" w:cs="Calibri"/>
          <w:sz w:val="20"/>
          <w:szCs w:val="20"/>
        </w:rPr>
        <w:t>:</w:t>
      </w:r>
    </w:p>
    <w:p w14:paraId="371A4865" w14:textId="77777777" w:rsidR="00EB529A" w:rsidRPr="00B1092A" w:rsidRDefault="00EB529A" w:rsidP="00B1092A">
      <w:pPr>
        <w:pStyle w:val="NormalWeb"/>
        <w:numPr>
          <w:ilvl w:val="0"/>
          <w:numId w:val="34"/>
        </w:numPr>
        <w:jc w:val="both"/>
        <w:rPr>
          <w:rFonts w:ascii="Verdana" w:eastAsiaTheme="minorHAnsi" w:hAnsi="Verdana" w:cs="Calibri"/>
          <w:sz w:val="20"/>
          <w:szCs w:val="20"/>
        </w:rPr>
      </w:pPr>
      <w:r w:rsidRPr="00B1092A">
        <w:rPr>
          <w:rFonts w:ascii="Verdana" w:eastAsiaTheme="minorHAnsi" w:hAnsi="Verdana" w:cs="Calibri"/>
          <w:sz w:val="20"/>
          <w:szCs w:val="20"/>
        </w:rPr>
        <w:t xml:space="preserve">discuss relevant international good practices, standards, and approaches to corruption risk assessment and integrity building in the security and defence sector; </w:t>
      </w:r>
    </w:p>
    <w:p w14:paraId="065823B6" w14:textId="77777777" w:rsidR="00EB529A" w:rsidRPr="00B1092A" w:rsidRDefault="00EB529A" w:rsidP="00B1092A">
      <w:pPr>
        <w:pStyle w:val="NormalWeb"/>
        <w:numPr>
          <w:ilvl w:val="0"/>
          <w:numId w:val="34"/>
        </w:numPr>
        <w:jc w:val="both"/>
        <w:rPr>
          <w:rFonts w:ascii="Verdana" w:eastAsiaTheme="minorHAnsi" w:hAnsi="Verdana" w:cs="Calibri"/>
          <w:sz w:val="20"/>
          <w:szCs w:val="20"/>
        </w:rPr>
      </w:pPr>
      <w:r w:rsidRPr="00B1092A">
        <w:rPr>
          <w:rFonts w:ascii="Verdana" w:eastAsiaTheme="minorHAnsi" w:hAnsi="Verdana" w:cs="Calibri"/>
          <w:sz w:val="20"/>
          <w:szCs w:val="20"/>
        </w:rPr>
        <w:t xml:space="preserve">facilitate exchange of professional experience, comparative perspectives, and expert views; </w:t>
      </w:r>
    </w:p>
    <w:p w14:paraId="7E5EA87F" w14:textId="113AC2F8" w:rsidR="00EB529A" w:rsidRPr="00B1092A" w:rsidRDefault="00EB529A" w:rsidP="00B1092A">
      <w:pPr>
        <w:pStyle w:val="NormalWeb"/>
        <w:numPr>
          <w:ilvl w:val="0"/>
          <w:numId w:val="34"/>
        </w:numPr>
        <w:jc w:val="both"/>
        <w:rPr>
          <w:rFonts w:ascii="Verdana" w:eastAsiaTheme="minorHAnsi" w:hAnsi="Verdana" w:cs="Calibri"/>
          <w:sz w:val="20"/>
          <w:szCs w:val="20"/>
        </w:rPr>
      </w:pPr>
      <w:r w:rsidRPr="00B1092A">
        <w:rPr>
          <w:rFonts w:ascii="Verdana" w:eastAsiaTheme="minorHAnsi" w:hAnsi="Verdana" w:cs="Calibri"/>
          <w:sz w:val="20"/>
          <w:szCs w:val="20"/>
        </w:rPr>
        <w:t xml:space="preserve">discuss and validate the preliminary recommendations developed by the </w:t>
      </w:r>
      <w:r w:rsidR="00B1092A">
        <w:rPr>
          <w:rFonts w:ascii="Verdana" w:eastAsiaTheme="minorHAnsi" w:hAnsi="Verdana" w:cs="Calibri"/>
          <w:sz w:val="20"/>
          <w:szCs w:val="20"/>
        </w:rPr>
        <w:t>Expert</w:t>
      </w:r>
      <w:r w:rsidRPr="00B1092A">
        <w:rPr>
          <w:rFonts w:ascii="Verdana" w:eastAsiaTheme="minorHAnsi" w:hAnsi="Verdana" w:cs="Calibri"/>
          <w:sz w:val="20"/>
          <w:szCs w:val="20"/>
        </w:rPr>
        <w:t xml:space="preserve"> for improving the existing methodology; </w:t>
      </w:r>
    </w:p>
    <w:p w14:paraId="107316DC" w14:textId="7A3FD529" w:rsidR="00EB529A" w:rsidRPr="00B1092A" w:rsidRDefault="00EB529A" w:rsidP="00B1092A">
      <w:pPr>
        <w:pStyle w:val="NormalWeb"/>
        <w:numPr>
          <w:ilvl w:val="0"/>
          <w:numId w:val="34"/>
        </w:numPr>
        <w:jc w:val="both"/>
        <w:rPr>
          <w:rFonts w:ascii="Verdana" w:eastAsiaTheme="minorHAnsi" w:hAnsi="Verdana" w:cs="Calibri"/>
          <w:sz w:val="20"/>
          <w:szCs w:val="20"/>
        </w:rPr>
      </w:pPr>
      <w:r w:rsidRPr="00B1092A">
        <w:rPr>
          <w:rFonts w:ascii="Verdana" w:eastAsiaTheme="minorHAnsi" w:hAnsi="Verdana" w:cs="Calibri"/>
          <w:sz w:val="20"/>
          <w:szCs w:val="20"/>
        </w:rPr>
        <w:t xml:space="preserve">ensure that the proposed methodology enhancements are informed by relevant international expertise and </w:t>
      </w:r>
      <w:r w:rsidR="00B1092A">
        <w:rPr>
          <w:rFonts w:ascii="Verdana" w:eastAsiaTheme="minorHAnsi" w:hAnsi="Verdana" w:cs="Calibri"/>
          <w:sz w:val="20"/>
          <w:szCs w:val="20"/>
        </w:rPr>
        <w:t>good</w:t>
      </w:r>
      <w:r w:rsidRPr="00B1092A">
        <w:rPr>
          <w:rFonts w:ascii="Verdana" w:eastAsiaTheme="minorHAnsi" w:hAnsi="Verdana" w:cs="Calibri"/>
          <w:sz w:val="20"/>
          <w:szCs w:val="20"/>
        </w:rPr>
        <w:t xml:space="preserve"> practice. </w:t>
      </w:r>
    </w:p>
    <w:p w14:paraId="445C7A69" w14:textId="365D128B" w:rsidR="00144FD1" w:rsidRPr="00596BCB" w:rsidRDefault="00144FD1" w:rsidP="00144FD1">
      <w:pPr>
        <w:pStyle w:val="NormalWeb"/>
        <w:rPr>
          <w:rFonts w:ascii="Verdana" w:eastAsiaTheme="minorHAnsi" w:hAnsi="Verdana" w:cs="Calibri"/>
          <w:sz w:val="20"/>
          <w:szCs w:val="20"/>
        </w:rPr>
      </w:pPr>
      <w:bookmarkStart w:id="2" w:name="_Hlk229480767"/>
      <w:r w:rsidRPr="00596BCB">
        <w:rPr>
          <w:rFonts w:ascii="Verdana" w:eastAsiaTheme="minorHAnsi" w:hAnsi="Verdana" w:cs="Calibri"/>
          <w:sz w:val="20"/>
          <w:szCs w:val="20"/>
        </w:rPr>
        <w:t xml:space="preserve">The task line </w:t>
      </w:r>
      <w:r w:rsidR="00B1092A">
        <w:rPr>
          <w:rFonts w:ascii="Verdana" w:eastAsiaTheme="minorHAnsi" w:hAnsi="Verdana" w:cs="Calibri"/>
          <w:sz w:val="20"/>
          <w:szCs w:val="20"/>
        </w:rPr>
        <w:t xml:space="preserve">for an Expert </w:t>
      </w:r>
      <w:r w:rsidRPr="00596BCB">
        <w:rPr>
          <w:rFonts w:ascii="Verdana" w:eastAsiaTheme="minorHAnsi" w:hAnsi="Verdana" w:cs="Calibri"/>
          <w:sz w:val="20"/>
          <w:szCs w:val="20"/>
        </w:rPr>
        <w:t>shall include, but not be limited to:</w:t>
      </w:r>
    </w:p>
    <w:p w14:paraId="63EE1D4B" w14:textId="6C027CBE" w:rsidR="00144FD1" w:rsidRPr="00144FD1" w:rsidRDefault="00144FD1" w:rsidP="00144FD1">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t>development of the workshop</w:t>
      </w:r>
      <w:r w:rsidR="00EB529A">
        <w:rPr>
          <w:rFonts w:ascii="Verdana" w:eastAsiaTheme="minorHAnsi" w:hAnsi="Verdana" w:cs="Calibri"/>
          <w:sz w:val="20"/>
          <w:szCs w:val="20"/>
          <w:lang w:val="en-GB"/>
        </w:rPr>
        <w:t>s</w:t>
      </w:r>
      <w:r w:rsidRPr="00144FD1">
        <w:rPr>
          <w:rFonts w:ascii="Verdana" w:eastAsiaTheme="minorHAnsi" w:hAnsi="Verdana" w:cs="Calibri"/>
          <w:sz w:val="20"/>
          <w:szCs w:val="20"/>
          <w:lang w:val="en-GB"/>
        </w:rPr>
        <w:t xml:space="preserve"> concept, agenda, and discussion structure; </w:t>
      </w:r>
    </w:p>
    <w:p w14:paraId="40E6C553" w14:textId="77777777" w:rsidR="00144FD1" w:rsidRPr="00144FD1" w:rsidRDefault="00144FD1" w:rsidP="00144FD1">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t xml:space="preserve">preparation of workshop materials (including presentations, discussion prompts, worksheets, surveys, or other facilitation tools, as relevant); </w:t>
      </w:r>
    </w:p>
    <w:p w14:paraId="702CDD63" w14:textId="77777777" w:rsidR="00144FD1" w:rsidRPr="00144FD1" w:rsidRDefault="00144FD1" w:rsidP="00144FD1">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t xml:space="preserve">contribution to the identification of relevant stakeholders and participants, where required; </w:t>
      </w:r>
    </w:p>
    <w:p w14:paraId="04360FD0" w14:textId="491D2DEC" w:rsidR="00144FD1" w:rsidRPr="00144FD1" w:rsidRDefault="00144FD1" w:rsidP="00144FD1">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lastRenderedPageBreak/>
        <w:t xml:space="preserve">expert participation in the workshop, including presentation of findings, and provision of substantive input; </w:t>
      </w:r>
    </w:p>
    <w:p w14:paraId="290940F5" w14:textId="04F4A999" w:rsidR="00144FD1" w:rsidRPr="00144FD1" w:rsidRDefault="00144FD1" w:rsidP="00144FD1">
      <w:pPr>
        <w:numPr>
          <w:ilvl w:val="0"/>
          <w:numId w:val="19"/>
        </w:numPr>
        <w:spacing w:before="100" w:beforeAutospacing="1" w:after="100" w:afterAutospacing="1" w:line="240" w:lineRule="auto"/>
        <w:jc w:val="both"/>
        <w:rPr>
          <w:rFonts w:ascii="Verdana" w:eastAsiaTheme="minorHAnsi" w:hAnsi="Verdana" w:cs="Calibri"/>
          <w:sz w:val="20"/>
          <w:szCs w:val="20"/>
          <w:lang w:val="en-GB"/>
        </w:rPr>
      </w:pPr>
      <w:r w:rsidRPr="00144FD1">
        <w:rPr>
          <w:rFonts w:ascii="Verdana" w:eastAsiaTheme="minorHAnsi" w:hAnsi="Verdana" w:cs="Calibri"/>
          <w:sz w:val="20"/>
          <w:szCs w:val="20"/>
          <w:lang w:val="en-GB"/>
        </w:rPr>
        <w:t xml:space="preserve">preparation of a summary notes or workshop report capturing key discussion points, stakeholder feedback, and agreed recommendations. </w:t>
      </w:r>
    </w:p>
    <w:bookmarkEnd w:id="2"/>
    <w:p w14:paraId="217D59AE" w14:textId="200F9F2F" w:rsidR="00400F46" w:rsidRPr="00B1092A" w:rsidRDefault="00400F46" w:rsidP="00B1092A">
      <w:pPr>
        <w:pStyle w:val="NormalWeb"/>
        <w:jc w:val="both"/>
        <w:rPr>
          <w:rFonts w:ascii="Verdana" w:eastAsiaTheme="minorHAnsi" w:hAnsi="Verdana" w:cs="Calibri"/>
          <w:sz w:val="20"/>
          <w:szCs w:val="20"/>
        </w:rPr>
      </w:pPr>
      <w:r w:rsidRPr="00B1092A">
        <w:rPr>
          <w:rFonts w:ascii="Verdana" w:eastAsiaTheme="minorHAnsi" w:hAnsi="Verdana" w:cs="Calibri"/>
          <w:b/>
          <w:bCs/>
          <w:sz w:val="20"/>
          <w:szCs w:val="20"/>
        </w:rPr>
        <w:t>Note:</w:t>
      </w:r>
      <w:r w:rsidRPr="00B1092A">
        <w:rPr>
          <w:rFonts w:ascii="Verdana" w:eastAsiaTheme="minorHAnsi" w:hAnsi="Verdana" w:cs="Calibri"/>
          <w:sz w:val="20"/>
          <w:szCs w:val="20"/>
        </w:rPr>
        <w:t xml:space="preserve"> The stakeholder consultation workshops will be led by </w:t>
      </w:r>
      <w:r w:rsidR="004301FE">
        <w:rPr>
          <w:rFonts w:ascii="Verdana" w:eastAsiaTheme="minorHAnsi" w:hAnsi="Verdana" w:cs="Calibri"/>
          <w:sz w:val="20"/>
          <w:szCs w:val="20"/>
        </w:rPr>
        <w:t xml:space="preserve">the </w:t>
      </w:r>
      <w:r w:rsidRPr="00B1092A">
        <w:rPr>
          <w:rFonts w:ascii="Verdana" w:eastAsiaTheme="minorHAnsi" w:hAnsi="Verdana" w:cs="Calibri"/>
          <w:sz w:val="20"/>
          <w:szCs w:val="20"/>
        </w:rPr>
        <w:t xml:space="preserve">NACP. Administrative, organisational, and logistical arrangements for the workshop (including invitations, </w:t>
      </w:r>
      <w:r w:rsidR="00B1092A">
        <w:rPr>
          <w:rFonts w:ascii="Verdana" w:eastAsiaTheme="minorHAnsi" w:hAnsi="Verdana" w:cs="Calibri"/>
          <w:sz w:val="20"/>
          <w:szCs w:val="20"/>
        </w:rPr>
        <w:t xml:space="preserve">translation, </w:t>
      </w:r>
      <w:r w:rsidRPr="00B1092A">
        <w:rPr>
          <w:rFonts w:ascii="Verdana" w:eastAsiaTheme="minorHAnsi" w:hAnsi="Verdana" w:cs="Calibri"/>
          <w:sz w:val="20"/>
          <w:szCs w:val="20"/>
        </w:rPr>
        <w:t xml:space="preserve">venue, catering, and participant coordination) will be the responsibility of </w:t>
      </w:r>
      <w:r w:rsidR="00B1092A">
        <w:rPr>
          <w:rFonts w:ascii="Verdana" w:eastAsiaTheme="minorHAnsi" w:hAnsi="Verdana" w:cs="Calibri"/>
          <w:sz w:val="20"/>
          <w:szCs w:val="20"/>
        </w:rPr>
        <w:t xml:space="preserve">both </w:t>
      </w:r>
      <w:r w:rsidR="004301FE">
        <w:rPr>
          <w:rFonts w:ascii="Verdana" w:eastAsiaTheme="minorHAnsi" w:hAnsi="Verdana" w:cs="Calibri"/>
          <w:sz w:val="20"/>
          <w:szCs w:val="20"/>
        </w:rPr>
        <w:t xml:space="preserve">the </w:t>
      </w:r>
      <w:r w:rsidRPr="00B1092A">
        <w:rPr>
          <w:rFonts w:ascii="Verdana" w:eastAsiaTheme="minorHAnsi" w:hAnsi="Verdana" w:cs="Calibri"/>
          <w:sz w:val="20"/>
          <w:szCs w:val="20"/>
        </w:rPr>
        <w:t>NACP</w:t>
      </w:r>
      <w:r w:rsidR="00B1092A">
        <w:rPr>
          <w:rFonts w:ascii="Verdana" w:eastAsiaTheme="minorHAnsi" w:hAnsi="Verdana" w:cs="Calibri"/>
          <w:sz w:val="20"/>
          <w:szCs w:val="20"/>
        </w:rPr>
        <w:t xml:space="preserve"> and </w:t>
      </w:r>
      <w:r w:rsidR="004301FE">
        <w:rPr>
          <w:rFonts w:ascii="Verdana" w:eastAsiaTheme="minorHAnsi" w:hAnsi="Verdana" w:cs="Calibri"/>
          <w:sz w:val="20"/>
          <w:szCs w:val="20"/>
        </w:rPr>
        <w:t xml:space="preserve">the </w:t>
      </w:r>
      <w:r w:rsidR="00B1092A">
        <w:rPr>
          <w:rFonts w:ascii="Verdana" w:eastAsiaTheme="minorHAnsi" w:hAnsi="Verdana" w:cs="Calibri"/>
          <w:sz w:val="20"/>
          <w:szCs w:val="20"/>
        </w:rPr>
        <w:t>EUACI</w:t>
      </w:r>
      <w:r w:rsidRPr="00B1092A">
        <w:rPr>
          <w:rFonts w:ascii="Verdana" w:eastAsiaTheme="minorHAnsi" w:hAnsi="Verdana" w:cs="Calibri"/>
          <w:sz w:val="20"/>
          <w:szCs w:val="20"/>
        </w:rPr>
        <w:t xml:space="preserve"> or another designated party.</w:t>
      </w:r>
    </w:p>
    <w:p w14:paraId="080A8B04" w14:textId="035E4241" w:rsidR="00596BCB" w:rsidRPr="00E90D1D" w:rsidRDefault="00596BCB" w:rsidP="00E90D1D">
      <w:pPr>
        <w:pStyle w:val="NormalWeb"/>
        <w:rPr>
          <w:rFonts w:ascii="Verdana" w:eastAsiaTheme="minorHAnsi" w:hAnsi="Verdana" w:cs="Calibri"/>
          <w:sz w:val="20"/>
          <w:szCs w:val="20"/>
          <w:u w:val="single"/>
        </w:rPr>
      </w:pPr>
      <w:bookmarkStart w:id="3" w:name="_Hlk229480824"/>
      <w:r w:rsidRPr="00E90D1D">
        <w:rPr>
          <w:rFonts w:ascii="Verdana" w:eastAsiaTheme="minorHAnsi" w:hAnsi="Verdana" w:cs="Calibri"/>
          <w:sz w:val="20"/>
          <w:szCs w:val="20"/>
          <w:u w:val="single"/>
        </w:rPr>
        <w:t xml:space="preserve">3. Supporting and </w:t>
      </w:r>
      <w:r w:rsidR="00E90D1D">
        <w:rPr>
          <w:rFonts w:ascii="Verdana" w:eastAsiaTheme="minorHAnsi" w:hAnsi="Verdana" w:cs="Calibri"/>
          <w:sz w:val="20"/>
          <w:szCs w:val="20"/>
          <w:u w:val="single"/>
        </w:rPr>
        <w:t>c</w:t>
      </w:r>
      <w:r w:rsidRPr="00E90D1D">
        <w:rPr>
          <w:rFonts w:ascii="Verdana" w:eastAsiaTheme="minorHAnsi" w:hAnsi="Verdana" w:cs="Calibri"/>
          <w:sz w:val="20"/>
          <w:szCs w:val="20"/>
          <w:u w:val="single"/>
        </w:rPr>
        <w:t xml:space="preserve">oordination </w:t>
      </w:r>
      <w:r w:rsidR="00E90D1D">
        <w:rPr>
          <w:rFonts w:ascii="Verdana" w:eastAsiaTheme="minorHAnsi" w:hAnsi="Verdana" w:cs="Calibri"/>
          <w:sz w:val="20"/>
          <w:szCs w:val="20"/>
          <w:u w:val="single"/>
        </w:rPr>
        <w:t>a</w:t>
      </w:r>
      <w:r w:rsidRPr="00E90D1D">
        <w:rPr>
          <w:rFonts w:ascii="Verdana" w:eastAsiaTheme="minorHAnsi" w:hAnsi="Verdana" w:cs="Calibri"/>
          <w:sz w:val="20"/>
          <w:szCs w:val="20"/>
          <w:u w:val="single"/>
        </w:rPr>
        <w:t>ctivities</w:t>
      </w:r>
      <w:r w:rsidR="00E90D1D">
        <w:rPr>
          <w:rFonts w:ascii="Verdana" w:eastAsiaTheme="minorHAnsi" w:hAnsi="Verdana" w:cs="Calibri"/>
          <w:sz w:val="20"/>
          <w:szCs w:val="20"/>
          <w:u w:val="single"/>
        </w:rPr>
        <w:t xml:space="preserve"> (additionally)</w:t>
      </w:r>
    </w:p>
    <w:p w14:paraId="1783CACF" w14:textId="52164E34" w:rsidR="00596BCB" w:rsidRDefault="00596BCB" w:rsidP="00E90D1D">
      <w:pPr>
        <w:pStyle w:val="NormalWeb"/>
        <w:jc w:val="both"/>
      </w:pPr>
      <w:r w:rsidRPr="00E90D1D">
        <w:rPr>
          <w:rFonts w:ascii="Verdana" w:eastAsiaTheme="minorHAnsi" w:hAnsi="Verdana" w:cs="Calibri"/>
          <w:sz w:val="20"/>
          <w:szCs w:val="20"/>
        </w:rPr>
        <w:t>Throughout the assignment, the Service Provider shall ensure close coordination with the NACP</w:t>
      </w:r>
      <w:r w:rsidR="00E90D1D">
        <w:rPr>
          <w:rFonts w:ascii="Verdana" w:eastAsiaTheme="minorHAnsi" w:hAnsi="Verdana" w:cs="Calibri"/>
          <w:sz w:val="20"/>
          <w:szCs w:val="20"/>
        </w:rPr>
        <w:t xml:space="preserve"> and EUACI (where needed)</w:t>
      </w:r>
      <w:r w:rsidRPr="00E90D1D">
        <w:rPr>
          <w:rFonts w:ascii="Verdana" w:eastAsiaTheme="minorHAnsi" w:hAnsi="Verdana" w:cs="Calibri"/>
          <w:sz w:val="20"/>
          <w:szCs w:val="20"/>
        </w:rPr>
        <w:t>, including</w:t>
      </w:r>
      <w:r>
        <w:t>:</w:t>
      </w:r>
    </w:p>
    <w:p w14:paraId="36081D13" w14:textId="77777777" w:rsidR="00596BCB" w:rsidRPr="00E90D1D" w:rsidRDefault="00596BCB" w:rsidP="00596BCB">
      <w:pPr>
        <w:numPr>
          <w:ilvl w:val="0"/>
          <w:numId w:val="29"/>
        </w:numPr>
        <w:spacing w:before="100" w:beforeAutospacing="1" w:after="100" w:afterAutospacing="1" w:line="240" w:lineRule="auto"/>
        <w:rPr>
          <w:rFonts w:ascii="Verdana" w:eastAsiaTheme="minorHAnsi" w:hAnsi="Verdana" w:cs="Calibri"/>
          <w:sz w:val="20"/>
          <w:szCs w:val="20"/>
          <w:lang w:val="en-GB"/>
        </w:rPr>
      </w:pPr>
      <w:r w:rsidRPr="00E90D1D">
        <w:rPr>
          <w:rFonts w:ascii="Verdana" w:eastAsiaTheme="minorHAnsi" w:hAnsi="Verdana" w:cs="Calibri"/>
          <w:sz w:val="20"/>
          <w:szCs w:val="20"/>
          <w:lang w:val="en-GB"/>
        </w:rPr>
        <w:t xml:space="preserve">regular consultations and coordination meetings, as required; </w:t>
      </w:r>
    </w:p>
    <w:p w14:paraId="70502C61" w14:textId="77777777" w:rsidR="00596BCB" w:rsidRPr="00E90D1D" w:rsidRDefault="00596BCB" w:rsidP="00596BCB">
      <w:pPr>
        <w:numPr>
          <w:ilvl w:val="0"/>
          <w:numId w:val="29"/>
        </w:numPr>
        <w:spacing w:before="100" w:beforeAutospacing="1" w:after="100" w:afterAutospacing="1" w:line="240" w:lineRule="auto"/>
        <w:rPr>
          <w:rFonts w:ascii="Verdana" w:eastAsiaTheme="minorHAnsi" w:hAnsi="Verdana" w:cs="Calibri"/>
          <w:sz w:val="20"/>
          <w:szCs w:val="20"/>
          <w:lang w:val="en-GB"/>
        </w:rPr>
      </w:pPr>
      <w:r w:rsidRPr="00E90D1D">
        <w:rPr>
          <w:rFonts w:ascii="Verdana" w:eastAsiaTheme="minorHAnsi" w:hAnsi="Verdana" w:cs="Calibri"/>
          <w:sz w:val="20"/>
          <w:szCs w:val="20"/>
          <w:lang w:val="en-GB"/>
        </w:rPr>
        <w:t xml:space="preserve">timely communication on progress, risks, or issues affecting delivery; </w:t>
      </w:r>
    </w:p>
    <w:p w14:paraId="4EC37435" w14:textId="77777777" w:rsidR="00596BCB" w:rsidRPr="00E90D1D" w:rsidRDefault="00596BCB" w:rsidP="00596BCB">
      <w:pPr>
        <w:numPr>
          <w:ilvl w:val="0"/>
          <w:numId w:val="29"/>
        </w:numPr>
        <w:spacing w:before="100" w:beforeAutospacing="1" w:after="100" w:afterAutospacing="1" w:line="240" w:lineRule="auto"/>
        <w:rPr>
          <w:rFonts w:ascii="Verdana" w:eastAsiaTheme="minorHAnsi" w:hAnsi="Verdana" w:cs="Calibri"/>
          <w:sz w:val="20"/>
          <w:szCs w:val="20"/>
          <w:lang w:val="en-GB"/>
        </w:rPr>
      </w:pPr>
      <w:r w:rsidRPr="00E90D1D">
        <w:rPr>
          <w:rFonts w:ascii="Verdana" w:eastAsiaTheme="minorHAnsi" w:hAnsi="Verdana" w:cs="Calibri"/>
          <w:sz w:val="20"/>
          <w:szCs w:val="20"/>
          <w:lang w:val="en-GB"/>
        </w:rPr>
        <w:t xml:space="preserve">incorporation of stakeholder feedback into deliverables; </w:t>
      </w:r>
    </w:p>
    <w:p w14:paraId="3B4DEF8B" w14:textId="0D6BD5F1" w:rsidR="00596BCB" w:rsidRDefault="00596BCB" w:rsidP="00596BCB">
      <w:pPr>
        <w:numPr>
          <w:ilvl w:val="0"/>
          <w:numId w:val="29"/>
        </w:numPr>
        <w:spacing w:before="100" w:beforeAutospacing="1" w:after="100" w:afterAutospacing="1" w:line="240" w:lineRule="auto"/>
      </w:pPr>
      <w:r w:rsidRPr="00E90D1D">
        <w:rPr>
          <w:rFonts w:ascii="Verdana" w:eastAsiaTheme="minorHAnsi" w:hAnsi="Verdana" w:cs="Calibri"/>
          <w:sz w:val="20"/>
          <w:szCs w:val="20"/>
          <w:lang w:val="en-GB"/>
        </w:rPr>
        <w:t>provision of clarifications, expert input, and ad hoc consultations reasonably related to the scope and objectives of the assignment</w:t>
      </w:r>
      <w:r w:rsidR="0057403C">
        <w:rPr>
          <w:rFonts w:ascii="Verdana" w:eastAsiaTheme="minorHAnsi" w:hAnsi="Verdana" w:cs="Calibri"/>
          <w:sz w:val="20"/>
          <w:szCs w:val="20"/>
          <w:lang w:val="en-GB"/>
        </w:rPr>
        <w:t>.</w:t>
      </w:r>
    </w:p>
    <w:p w14:paraId="3CB9C19D" w14:textId="77777777" w:rsidR="004A638C" w:rsidRPr="004A638C" w:rsidRDefault="004A638C" w:rsidP="004A638C">
      <w:pPr>
        <w:jc w:val="both"/>
        <w:rPr>
          <w:rFonts w:ascii="Verdana" w:eastAsia="Verdana" w:hAnsi="Verdana" w:cs="Verdana"/>
          <w:b/>
          <w:bCs/>
          <w:sz w:val="20"/>
          <w:szCs w:val="20"/>
          <w:u w:val="single"/>
        </w:rPr>
      </w:pPr>
      <w:bookmarkStart w:id="4" w:name="_Hlk229480849"/>
      <w:bookmarkEnd w:id="3"/>
      <w:r w:rsidRPr="004A638C">
        <w:rPr>
          <w:rFonts w:ascii="Verdana" w:eastAsia="Verdana" w:hAnsi="Verdana" w:cs="Verdana"/>
          <w:b/>
          <w:bCs/>
          <w:sz w:val="20"/>
          <w:szCs w:val="20"/>
          <w:u w:val="single"/>
        </w:rPr>
        <w:t xml:space="preserve">Expected deliverables and timeline </w:t>
      </w:r>
    </w:p>
    <w:p w14:paraId="6D83F47D" w14:textId="77777777" w:rsidR="004A638C" w:rsidRDefault="004A638C" w:rsidP="004A638C">
      <w:pPr>
        <w:jc w:val="both"/>
        <w:rPr>
          <w:rFonts w:ascii="Verdana" w:eastAsia="Verdana" w:hAnsi="Verdana" w:cs="Verdana"/>
          <w:sz w:val="20"/>
          <w:szCs w:val="20"/>
          <w:lang w:val="en-GB"/>
        </w:rPr>
      </w:pPr>
    </w:p>
    <w:p w14:paraId="2AD03085" w14:textId="544B72E7" w:rsidR="004A638C" w:rsidRPr="004A638C" w:rsidRDefault="004A638C" w:rsidP="004A638C">
      <w:pPr>
        <w:jc w:val="both"/>
        <w:rPr>
          <w:rFonts w:ascii="Verdana" w:eastAsia="Verdana" w:hAnsi="Verdana" w:cs="Verdana"/>
          <w:sz w:val="20"/>
          <w:szCs w:val="20"/>
          <w:lang w:val="en-GB"/>
        </w:rPr>
      </w:pPr>
      <w:r w:rsidRPr="004A638C">
        <w:rPr>
          <w:rFonts w:ascii="Verdana" w:eastAsia="Verdana" w:hAnsi="Verdana" w:cs="Verdana"/>
          <w:sz w:val="20"/>
          <w:szCs w:val="20"/>
          <w:lang w:val="en-GB"/>
        </w:rPr>
        <w:t>The Service Provider is expected to deliver the following outputs within the tentative timeline:</w:t>
      </w:r>
    </w:p>
    <w:p w14:paraId="0FE21C96" w14:textId="77777777" w:rsidR="004A638C" w:rsidRPr="004A638C" w:rsidRDefault="004A638C" w:rsidP="004A638C">
      <w:pPr>
        <w:jc w:val="both"/>
        <w:rPr>
          <w:rFonts w:ascii="Verdana" w:eastAsia="Verdana" w:hAnsi="Verdana" w:cs="Verdana"/>
          <w:sz w:val="20"/>
          <w:szCs w:val="20"/>
          <w:lang w:val="en-GB"/>
        </w:rPr>
      </w:pPr>
    </w:p>
    <w:tbl>
      <w:tblPr>
        <w:tblW w:w="98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59"/>
        <w:gridCol w:w="3267"/>
        <w:gridCol w:w="2551"/>
        <w:gridCol w:w="3449"/>
      </w:tblGrid>
      <w:tr w:rsidR="004A638C" w14:paraId="61806E3A" w14:textId="77777777" w:rsidTr="00873565">
        <w:trPr>
          <w:tblHeader/>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F57CB" w14:textId="77777777" w:rsidR="004A638C" w:rsidRDefault="004A638C">
            <w:pPr>
              <w:spacing w:after="120" w:line="240" w:lineRule="auto"/>
              <w:rPr>
                <w:rFonts w:ascii="Verdana" w:hAnsi="Verdana"/>
                <w:b/>
                <w:sz w:val="20"/>
                <w:szCs w:val="20"/>
              </w:rPr>
            </w:pPr>
            <w:r>
              <w:rPr>
                <w:rFonts w:ascii="Verdana" w:hAnsi="Verdana"/>
                <w:b/>
                <w:sz w:val="20"/>
                <w:szCs w:val="20"/>
              </w:rPr>
              <w:t>#</w:t>
            </w:r>
          </w:p>
        </w:tc>
        <w:tc>
          <w:tcPr>
            <w:tcW w:w="32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87F483" w14:textId="77777777" w:rsidR="004A638C" w:rsidRDefault="004A638C">
            <w:pPr>
              <w:spacing w:after="120" w:line="240" w:lineRule="auto"/>
              <w:jc w:val="center"/>
              <w:rPr>
                <w:rFonts w:ascii="Verdana" w:hAnsi="Verdana"/>
                <w:b/>
                <w:sz w:val="20"/>
                <w:szCs w:val="20"/>
              </w:rPr>
            </w:pPr>
            <w:r>
              <w:rPr>
                <w:rFonts w:ascii="Verdana" w:hAnsi="Verdana"/>
                <w:b/>
                <w:sz w:val="20"/>
                <w:szCs w:val="20"/>
              </w:rPr>
              <w:t>Deliverable/Output</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BC49D6" w14:textId="77777777" w:rsidR="004A638C" w:rsidRDefault="004A638C">
            <w:pPr>
              <w:spacing w:after="120" w:line="240" w:lineRule="auto"/>
              <w:jc w:val="center"/>
              <w:rPr>
                <w:rFonts w:ascii="Verdana" w:hAnsi="Verdana"/>
                <w:b/>
                <w:sz w:val="20"/>
                <w:szCs w:val="20"/>
              </w:rPr>
            </w:pPr>
            <w:r>
              <w:rPr>
                <w:rFonts w:ascii="Verdana" w:hAnsi="Verdana"/>
                <w:b/>
                <w:sz w:val="20"/>
                <w:szCs w:val="20"/>
              </w:rPr>
              <w:t>Timeline</w:t>
            </w:r>
          </w:p>
        </w:tc>
        <w:tc>
          <w:tcPr>
            <w:tcW w:w="34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698782" w14:textId="77777777" w:rsidR="004A638C" w:rsidRDefault="004A638C">
            <w:pPr>
              <w:spacing w:after="120" w:line="240" w:lineRule="auto"/>
              <w:jc w:val="center"/>
              <w:rPr>
                <w:rFonts w:ascii="Verdana" w:hAnsi="Verdana"/>
                <w:b/>
                <w:sz w:val="20"/>
                <w:szCs w:val="20"/>
              </w:rPr>
            </w:pPr>
            <w:r>
              <w:rPr>
                <w:rFonts w:ascii="Verdana" w:hAnsi="Verdana"/>
                <w:b/>
                <w:sz w:val="20"/>
                <w:szCs w:val="20"/>
              </w:rPr>
              <w:t>Note</w:t>
            </w:r>
          </w:p>
        </w:tc>
      </w:tr>
      <w:tr w:rsidR="004A638C" w14:paraId="72169A41" w14:textId="77777777" w:rsidTr="00873565">
        <w:trPr>
          <w:trHeight w:val="725"/>
          <w:jc w:val="center"/>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118568" w14:textId="77777777" w:rsidR="004A638C" w:rsidRDefault="004A638C">
            <w:pPr>
              <w:spacing w:after="120" w:line="240" w:lineRule="auto"/>
              <w:rPr>
                <w:rFonts w:ascii="Verdana" w:hAnsi="Verdana"/>
                <w:sz w:val="20"/>
                <w:szCs w:val="20"/>
              </w:rPr>
            </w:pPr>
            <w:r>
              <w:rPr>
                <w:rFonts w:ascii="Verdana" w:hAnsi="Verdana"/>
                <w:sz w:val="20"/>
                <w:szCs w:val="20"/>
              </w:rPr>
              <w:t>1.</w:t>
            </w:r>
          </w:p>
        </w:tc>
        <w:tc>
          <w:tcPr>
            <w:tcW w:w="926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37B48F" w14:textId="77777777" w:rsidR="004A638C" w:rsidRDefault="004A638C">
            <w:pPr>
              <w:spacing w:after="120" w:line="240" w:lineRule="auto"/>
              <w:jc w:val="center"/>
              <w:rPr>
                <w:rFonts w:ascii="Verdana" w:hAnsi="Verdana"/>
                <w:b/>
                <w:bCs/>
                <w:sz w:val="20"/>
                <w:szCs w:val="20"/>
              </w:rPr>
            </w:pPr>
            <w:r>
              <w:rPr>
                <w:rFonts w:ascii="Verdana" w:eastAsia="Verdana" w:hAnsi="Verdana" w:cs="Verdana"/>
                <w:b/>
                <w:bCs/>
                <w:sz w:val="20"/>
                <w:szCs w:val="20"/>
                <w:lang w:val="en-GB"/>
              </w:rPr>
              <w:t>Research paper on good practices</w:t>
            </w:r>
          </w:p>
        </w:tc>
      </w:tr>
      <w:tr w:rsidR="004A638C" w14:paraId="5E142B60" w14:textId="77777777" w:rsidTr="00873565">
        <w:trPr>
          <w:trHeight w:val="2375"/>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8289451"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911719" w14:textId="0A5299DD" w:rsidR="004A638C" w:rsidRPr="000341DB" w:rsidRDefault="004A638C" w:rsidP="00372548">
            <w:pPr>
              <w:rPr>
                <w:rFonts w:ascii="Verdana" w:eastAsia="Verdana" w:hAnsi="Verdana" w:cs="Verdana"/>
                <w:sz w:val="20"/>
                <w:szCs w:val="20"/>
                <w:u w:val="single"/>
                <w:lang w:val="en-GB"/>
              </w:rPr>
            </w:pPr>
            <w:r w:rsidRPr="000341DB">
              <w:rPr>
                <w:rFonts w:ascii="Verdana" w:eastAsia="Verdana" w:hAnsi="Verdana" w:cs="Verdana"/>
                <w:sz w:val="20"/>
                <w:szCs w:val="20"/>
                <w:lang w:val="en-GB"/>
              </w:rPr>
              <w:t xml:space="preserve">1.1. </w:t>
            </w:r>
            <w:r w:rsidR="00372548" w:rsidRPr="000341DB">
              <w:rPr>
                <w:rFonts w:ascii="Verdana" w:eastAsia="Verdana" w:hAnsi="Verdana" w:cs="Verdana"/>
                <w:sz w:val="20"/>
                <w:szCs w:val="20"/>
                <w:lang w:val="en-GB"/>
              </w:rPr>
              <w:t xml:space="preserve">Research paper analysing international good practices in corruption risk assessment and management in the security and defence sector, </w:t>
            </w:r>
            <w:r w:rsidR="00372548" w:rsidRPr="00F20FC9">
              <w:rPr>
                <w:rFonts w:ascii="Verdana" w:eastAsia="Verdana" w:hAnsi="Verdana" w:cs="Verdana"/>
                <w:sz w:val="20"/>
                <w:szCs w:val="20"/>
                <w:lang w:val="en-GB"/>
              </w:rPr>
              <w:t>including recommendations for improving the existing methodology</w:t>
            </w: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32FF86B"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 xml:space="preserve">Not later </w:t>
            </w:r>
            <w:r w:rsidRPr="000341DB">
              <w:rPr>
                <w:rFonts w:ascii="Verdana" w:hAnsi="Verdana"/>
                <w:sz w:val="20"/>
                <w:szCs w:val="20"/>
                <w:lang w:val="en-GB"/>
              </w:rPr>
              <w:t xml:space="preserve">than </w:t>
            </w:r>
            <w:r w:rsidRPr="000341DB">
              <w:rPr>
                <w:rFonts w:ascii="Verdana" w:hAnsi="Verdana"/>
                <w:sz w:val="20"/>
                <w:szCs w:val="20"/>
              </w:rPr>
              <w:t>the second half of October 2026</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259EEA7" w14:textId="77777777" w:rsidR="004A638C" w:rsidRPr="000341DB" w:rsidRDefault="004A638C">
            <w:pPr>
              <w:spacing w:after="120" w:line="240" w:lineRule="auto"/>
              <w:rPr>
                <w:rFonts w:ascii="Verdana" w:hAnsi="Verdana"/>
                <w:sz w:val="20"/>
                <w:szCs w:val="20"/>
              </w:rPr>
            </w:pPr>
            <w:r w:rsidRPr="00F20FC9">
              <w:rPr>
                <w:rFonts w:ascii="Verdana" w:hAnsi="Verdana"/>
                <w:sz w:val="20"/>
                <w:szCs w:val="20"/>
              </w:rPr>
              <w:t>Subject to the NACP approval</w:t>
            </w:r>
            <w:r w:rsidRPr="000341DB">
              <w:rPr>
                <w:rFonts w:ascii="Verdana" w:hAnsi="Verdana"/>
                <w:sz w:val="20"/>
                <w:szCs w:val="20"/>
              </w:rPr>
              <w:t xml:space="preserve"> and EUACI oversight</w:t>
            </w:r>
          </w:p>
          <w:p w14:paraId="4F251E9C"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Ukrainian and English</w:t>
            </w:r>
          </w:p>
        </w:tc>
      </w:tr>
      <w:tr w:rsidR="004A638C" w14:paraId="0EB66E13" w14:textId="77777777" w:rsidTr="00873565">
        <w:trPr>
          <w:trHeight w:val="1268"/>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6D0F783"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B43D2C" w14:textId="77777777" w:rsidR="004A638C" w:rsidRDefault="004A638C">
            <w:pPr>
              <w:rPr>
                <w:rFonts w:ascii="Verdana" w:eastAsia="Verdana" w:hAnsi="Verdana" w:cs="Verdana"/>
                <w:sz w:val="20"/>
                <w:szCs w:val="20"/>
                <w:u w:val="single"/>
                <w:lang w:val="en-GB"/>
              </w:rPr>
            </w:pPr>
            <w:r>
              <w:rPr>
                <w:rFonts w:ascii="Verdana" w:eastAsia="Verdana" w:hAnsi="Verdana" w:cs="Verdana"/>
                <w:sz w:val="20"/>
                <w:szCs w:val="20"/>
                <w:lang w:val="en-GB"/>
              </w:rPr>
              <w:t>1.2. Final paper revised based on stakeholder feedback and incorporating received comments</w:t>
            </w: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29B9FFE" w14:textId="77777777" w:rsidR="004A638C" w:rsidRDefault="004A638C">
            <w:pPr>
              <w:spacing w:after="120" w:line="240" w:lineRule="auto"/>
              <w:rPr>
                <w:rFonts w:ascii="Verdana" w:hAnsi="Verdana"/>
                <w:sz w:val="20"/>
                <w:szCs w:val="20"/>
              </w:rPr>
            </w:pPr>
            <w:r>
              <w:rPr>
                <w:rFonts w:ascii="Verdana" w:hAnsi="Verdana"/>
                <w:sz w:val="20"/>
                <w:szCs w:val="20"/>
              </w:rPr>
              <w:t>No later than the contract end date</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55B966" w14:textId="77777777" w:rsidR="004A638C" w:rsidRDefault="004A638C">
            <w:pPr>
              <w:spacing w:after="120" w:line="240" w:lineRule="auto"/>
              <w:rPr>
                <w:rFonts w:ascii="Verdana" w:hAnsi="Verdana"/>
                <w:sz w:val="20"/>
                <w:szCs w:val="20"/>
              </w:rPr>
            </w:pPr>
            <w:r>
              <w:rPr>
                <w:rFonts w:ascii="Verdana" w:hAnsi="Verdana"/>
                <w:sz w:val="20"/>
                <w:szCs w:val="20"/>
              </w:rPr>
              <w:t>Ukrainian and English</w:t>
            </w:r>
          </w:p>
        </w:tc>
      </w:tr>
      <w:tr w:rsidR="004A638C" w14:paraId="12639718" w14:textId="77777777" w:rsidTr="00873565">
        <w:trPr>
          <w:trHeight w:val="563"/>
          <w:jc w:val="center"/>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7A99796" w14:textId="77777777" w:rsidR="004A638C" w:rsidRDefault="004A638C">
            <w:pPr>
              <w:spacing w:after="120" w:line="240" w:lineRule="auto"/>
              <w:rPr>
                <w:rFonts w:ascii="Verdana" w:hAnsi="Verdana"/>
                <w:sz w:val="20"/>
                <w:szCs w:val="20"/>
              </w:rPr>
            </w:pPr>
            <w:r>
              <w:rPr>
                <w:rFonts w:ascii="Verdana" w:hAnsi="Verdana"/>
                <w:sz w:val="20"/>
                <w:szCs w:val="20"/>
              </w:rPr>
              <w:t xml:space="preserve">2. </w:t>
            </w:r>
          </w:p>
        </w:tc>
        <w:tc>
          <w:tcPr>
            <w:tcW w:w="926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291050" w14:textId="77777777" w:rsidR="004A638C" w:rsidRDefault="004A638C">
            <w:pPr>
              <w:spacing w:after="120" w:line="240" w:lineRule="auto"/>
              <w:jc w:val="center"/>
              <w:rPr>
                <w:rFonts w:ascii="Verdana" w:hAnsi="Verdana"/>
                <w:b/>
                <w:bCs/>
                <w:sz w:val="20"/>
                <w:szCs w:val="20"/>
              </w:rPr>
            </w:pPr>
            <w:r>
              <w:rPr>
                <w:rFonts w:ascii="Verdana" w:eastAsia="Verdana" w:hAnsi="Verdana" w:cs="Verdana"/>
                <w:b/>
                <w:bCs/>
                <w:sz w:val="20"/>
                <w:szCs w:val="20"/>
                <w:lang w:val="uk-UA"/>
              </w:rPr>
              <w:t xml:space="preserve">Stakeholder </w:t>
            </w:r>
            <w:r>
              <w:rPr>
                <w:rFonts w:ascii="Verdana" w:eastAsia="Verdana" w:hAnsi="Verdana" w:cs="Verdana"/>
                <w:b/>
                <w:bCs/>
                <w:sz w:val="20"/>
                <w:szCs w:val="20"/>
                <w:lang w:val="en-GB"/>
              </w:rPr>
              <w:t>c</w:t>
            </w:r>
            <w:r>
              <w:rPr>
                <w:rFonts w:ascii="Verdana" w:eastAsia="Verdana" w:hAnsi="Verdana" w:cs="Verdana"/>
                <w:b/>
                <w:bCs/>
                <w:sz w:val="20"/>
                <w:szCs w:val="20"/>
                <w:lang w:val="uk-UA"/>
              </w:rPr>
              <w:t xml:space="preserve">onsultation and </w:t>
            </w:r>
            <w:r>
              <w:rPr>
                <w:rFonts w:ascii="Verdana" w:eastAsia="Verdana" w:hAnsi="Verdana" w:cs="Verdana"/>
                <w:b/>
                <w:bCs/>
                <w:sz w:val="20"/>
                <w:szCs w:val="20"/>
                <w:lang w:val="en-GB"/>
              </w:rPr>
              <w:t>w</w:t>
            </w:r>
            <w:r>
              <w:rPr>
                <w:rFonts w:ascii="Verdana" w:eastAsia="Verdana" w:hAnsi="Verdana" w:cs="Verdana"/>
                <w:b/>
                <w:bCs/>
                <w:sz w:val="20"/>
                <w:szCs w:val="20"/>
                <w:lang w:val="uk-UA"/>
              </w:rPr>
              <w:t xml:space="preserve">orkshop </w:t>
            </w:r>
            <w:r>
              <w:rPr>
                <w:rFonts w:ascii="Verdana" w:eastAsia="Verdana" w:hAnsi="Verdana" w:cs="Verdana"/>
                <w:b/>
                <w:bCs/>
                <w:sz w:val="20"/>
                <w:szCs w:val="20"/>
                <w:lang w:val="en-GB"/>
              </w:rPr>
              <w:t>s</w:t>
            </w:r>
            <w:r>
              <w:rPr>
                <w:rFonts w:ascii="Verdana" w:eastAsia="Verdana" w:hAnsi="Verdana" w:cs="Verdana"/>
                <w:b/>
                <w:bCs/>
                <w:sz w:val="20"/>
                <w:szCs w:val="20"/>
                <w:lang w:val="uk-UA"/>
              </w:rPr>
              <w:t>upport</w:t>
            </w:r>
          </w:p>
        </w:tc>
      </w:tr>
      <w:tr w:rsidR="004A638C" w14:paraId="2F073329" w14:textId="77777777" w:rsidTr="00873565">
        <w:trPr>
          <w:trHeight w:val="86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1A838E1"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9ADC50" w14:textId="77777777" w:rsidR="004A638C" w:rsidRPr="000341DB" w:rsidRDefault="004A638C">
            <w:pPr>
              <w:rPr>
                <w:rFonts w:ascii="Verdana" w:eastAsia="Verdana" w:hAnsi="Verdana" w:cs="Verdana"/>
                <w:sz w:val="20"/>
                <w:szCs w:val="20"/>
                <w:lang w:val="uk-UA"/>
              </w:rPr>
            </w:pPr>
            <w:r w:rsidRPr="000341DB">
              <w:rPr>
                <w:rFonts w:ascii="Verdana" w:eastAsia="Verdana" w:hAnsi="Verdana" w:cs="Verdana"/>
                <w:sz w:val="20"/>
                <w:szCs w:val="20"/>
                <w:lang w:val="en-GB"/>
              </w:rPr>
              <w:t>2.1. Expert contribution to the development of the w</w:t>
            </w:r>
            <w:r w:rsidRPr="000341DB">
              <w:rPr>
                <w:rFonts w:ascii="Verdana" w:eastAsia="Verdana" w:hAnsi="Verdana" w:cs="Verdana"/>
                <w:sz w:val="20"/>
                <w:szCs w:val="20"/>
                <w:lang w:val="uk-UA"/>
              </w:rPr>
              <w:t>orkshop concept note, including agenda and proposed structure</w:t>
            </w:r>
            <w:r w:rsidRPr="000341DB">
              <w:rPr>
                <w:rFonts w:ascii="Verdana" w:eastAsia="Verdana" w:hAnsi="Verdana" w:cs="Verdana"/>
                <w:sz w:val="20"/>
                <w:szCs w:val="20"/>
                <w:lang w:val="en-GB"/>
              </w:rPr>
              <w:t xml:space="preserve"> and topics to discuss</w:t>
            </w:r>
          </w:p>
          <w:p w14:paraId="3902DB54" w14:textId="77777777" w:rsidR="004A638C" w:rsidRPr="000341DB" w:rsidRDefault="004A638C">
            <w:pPr>
              <w:rPr>
                <w:rFonts w:ascii="Verdana" w:eastAsia="Verdana" w:hAnsi="Verdana" w:cs="Verdana"/>
                <w:sz w:val="20"/>
                <w:szCs w:val="20"/>
                <w:lang w:val="uk-UA"/>
              </w:rPr>
            </w:pPr>
            <w:r w:rsidRPr="000341DB">
              <w:rPr>
                <w:rFonts w:ascii="Verdana" w:eastAsia="Verdana" w:hAnsi="Verdana" w:cs="Verdana"/>
                <w:sz w:val="20"/>
                <w:szCs w:val="20"/>
                <w:lang w:val="en-GB"/>
              </w:rPr>
              <w:t>2.2. Designing w</w:t>
            </w:r>
            <w:r w:rsidRPr="000341DB">
              <w:rPr>
                <w:rFonts w:ascii="Verdana" w:eastAsia="Verdana" w:hAnsi="Verdana" w:cs="Verdana"/>
                <w:sz w:val="20"/>
                <w:szCs w:val="20"/>
                <w:lang w:val="uk-UA"/>
              </w:rPr>
              <w:t>orkshop materials</w:t>
            </w:r>
            <w:r w:rsidRPr="000341DB">
              <w:rPr>
                <w:rFonts w:ascii="Verdana" w:eastAsia="Verdana" w:hAnsi="Verdana" w:cs="Verdana"/>
                <w:sz w:val="20"/>
                <w:szCs w:val="20"/>
                <w:lang w:val="en-GB"/>
              </w:rPr>
              <w:t xml:space="preserve"> </w:t>
            </w:r>
            <w:r w:rsidRPr="000341DB">
              <w:rPr>
                <w:rFonts w:ascii="Verdana" w:eastAsia="Verdana" w:hAnsi="Verdana" w:cs="Verdana"/>
                <w:sz w:val="20"/>
                <w:szCs w:val="20"/>
                <w:lang w:val="uk-UA"/>
              </w:rPr>
              <w:t>(</w:t>
            </w:r>
            <w:r w:rsidRPr="000341DB">
              <w:rPr>
                <w:rFonts w:ascii="Verdana" w:eastAsia="Verdana" w:hAnsi="Verdana" w:cs="Verdana"/>
                <w:sz w:val="20"/>
                <w:szCs w:val="20"/>
                <w:lang w:val="en-GB"/>
              </w:rPr>
              <w:t>slides</w:t>
            </w:r>
            <w:r w:rsidRPr="000341DB">
              <w:rPr>
                <w:rFonts w:ascii="Verdana" w:eastAsia="Verdana" w:hAnsi="Verdana" w:cs="Verdana"/>
                <w:sz w:val="20"/>
                <w:szCs w:val="20"/>
                <w:lang w:val="uk-UA"/>
              </w:rPr>
              <w:t xml:space="preserve">, handouts, </w:t>
            </w:r>
            <w:r w:rsidRPr="000341DB">
              <w:rPr>
                <w:rFonts w:ascii="Verdana" w:eastAsia="Verdana" w:hAnsi="Verdana" w:cs="Verdana"/>
                <w:sz w:val="20"/>
                <w:szCs w:val="20"/>
                <w:lang w:val="en-GB"/>
              </w:rPr>
              <w:t xml:space="preserve">work sheets, </w:t>
            </w:r>
            <w:r w:rsidRPr="000341DB">
              <w:rPr>
                <w:rFonts w:ascii="Verdana" w:eastAsia="Verdana" w:hAnsi="Verdana" w:cs="Verdana"/>
                <w:sz w:val="20"/>
                <w:szCs w:val="20"/>
                <w:lang w:val="uk-UA"/>
              </w:rPr>
              <w:t xml:space="preserve">exercises, etc.); </w:t>
            </w:r>
          </w:p>
          <w:p w14:paraId="3DA4FF81" w14:textId="77777777" w:rsidR="004A638C" w:rsidRPr="000341DB" w:rsidRDefault="004A638C">
            <w:pPr>
              <w:rPr>
                <w:rFonts w:ascii="Verdana" w:eastAsia="Verdana" w:hAnsi="Verdana" w:cs="Verdana"/>
                <w:sz w:val="20"/>
                <w:szCs w:val="20"/>
                <w:lang w:val="en-GB"/>
              </w:rPr>
            </w:pPr>
            <w:r w:rsidRPr="000341DB">
              <w:rPr>
                <w:rFonts w:ascii="Verdana" w:eastAsia="Verdana" w:hAnsi="Verdana" w:cs="Verdana"/>
                <w:sz w:val="20"/>
                <w:szCs w:val="20"/>
                <w:lang w:val="en-GB"/>
              </w:rPr>
              <w:t>2.3. Identifying and contacting relevant attendees where needed</w:t>
            </w: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EAD778" w14:textId="77777777" w:rsidR="004A638C" w:rsidRPr="000341DB" w:rsidRDefault="004A638C">
            <w:pPr>
              <w:spacing w:after="120" w:line="240" w:lineRule="auto"/>
              <w:rPr>
                <w:rFonts w:ascii="Verdana" w:hAnsi="Verdana"/>
                <w:sz w:val="20"/>
                <w:szCs w:val="20"/>
              </w:rPr>
            </w:pPr>
          </w:p>
          <w:p w14:paraId="35590E1B" w14:textId="77777777" w:rsidR="004A638C" w:rsidRPr="000341DB" w:rsidRDefault="004A638C">
            <w:pPr>
              <w:spacing w:after="120" w:line="240" w:lineRule="auto"/>
              <w:rPr>
                <w:rFonts w:ascii="Verdana" w:hAnsi="Verdana"/>
                <w:sz w:val="20"/>
                <w:szCs w:val="20"/>
              </w:rPr>
            </w:pPr>
          </w:p>
          <w:p w14:paraId="347EF0DC" w14:textId="77777777" w:rsidR="004A638C" w:rsidRPr="000341DB" w:rsidRDefault="004A638C">
            <w:pPr>
              <w:spacing w:after="120" w:line="240" w:lineRule="auto"/>
              <w:rPr>
                <w:rFonts w:ascii="Verdana" w:hAnsi="Verdana"/>
                <w:sz w:val="20"/>
                <w:szCs w:val="20"/>
              </w:rPr>
            </w:pPr>
          </w:p>
          <w:p w14:paraId="04EAF39A" w14:textId="779320AA" w:rsidR="004A638C" w:rsidRPr="000341DB" w:rsidRDefault="00667AD1">
            <w:pPr>
              <w:spacing w:after="120" w:line="240" w:lineRule="auto"/>
              <w:rPr>
                <w:rFonts w:ascii="Verdana" w:hAnsi="Verdana"/>
                <w:sz w:val="20"/>
                <w:szCs w:val="20"/>
              </w:rPr>
            </w:pPr>
            <w:r w:rsidRPr="000341DB">
              <w:rPr>
                <w:rFonts w:ascii="Verdana" w:hAnsi="Verdana"/>
                <w:sz w:val="20"/>
                <w:szCs w:val="20"/>
              </w:rPr>
              <w:t>No later than December 2026</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26B8A4" w14:textId="0CC5CAE9" w:rsidR="004A638C" w:rsidRPr="000341DB" w:rsidRDefault="004A638C">
            <w:pPr>
              <w:spacing w:after="120" w:line="240" w:lineRule="auto"/>
              <w:rPr>
                <w:rFonts w:ascii="Verdana" w:hAnsi="Verdana"/>
                <w:sz w:val="20"/>
                <w:szCs w:val="20"/>
              </w:rPr>
            </w:pPr>
            <w:r w:rsidRPr="000341DB">
              <w:rPr>
                <w:rFonts w:ascii="Verdana" w:hAnsi="Verdana"/>
                <w:sz w:val="20"/>
                <w:szCs w:val="20"/>
              </w:rPr>
              <w:t xml:space="preserve">Subject </w:t>
            </w:r>
            <w:r w:rsidRPr="00F20FC9">
              <w:rPr>
                <w:rFonts w:ascii="Verdana" w:hAnsi="Verdana"/>
                <w:sz w:val="20"/>
                <w:szCs w:val="20"/>
              </w:rPr>
              <w:t xml:space="preserve">to the NACP </w:t>
            </w:r>
            <w:r w:rsidRPr="000341DB">
              <w:rPr>
                <w:rFonts w:ascii="Verdana" w:hAnsi="Verdana"/>
                <w:sz w:val="20"/>
                <w:szCs w:val="20"/>
              </w:rPr>
              <w:t>approval and EUACI oversight</w:t>
            </w:r>
          </w:p>
          <w:p w14:paraId="30866616"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Ukrainian and English</w:t>
            </w:r>
          </w:p>
        </w:tc>
      </w:tr>
      <w:tr w:rsidR="004A638C" w14:paraId="73982665" w14:textId="77777777" w:rsidTr="00873565">
        <w:trPr>
          <w:trHeight w:val="1542"/>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2426537"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31C71A" w14:textId="77777777" w:rsidR="004A638C" w:rsidRPr="000341DB" w:rsidRDefault="004A638C">
            <w:pPr>
              <w:rPr>
                <w:rFonts w:ascii="Verdana" w:eastAsia="Verdana" w:hAnsi="Verdana" w:cs="Verdana"/>
                <w:sz w:val="20"/>
                <w:szCs w:val="20"/>
                <w:lang w:val="uk-UA"/>
              </w:rPr>
            </w:pPr>
            <w:r w:rsidRPr="000341DB">
              <w:rPr>
                <w:rFonts w:ascii="Verdana" w:eastAsia="Verdana" w:hAnsi="Verdana" w:cs="Verdana"/>
                <w:sz w:val="20"/>
                <w:szCs w:val="20"/>
                <w:lang w:val="en-GB"/>
              </w:rPr>
              <w:t xml:space="preserve">2.4. </w:t>
            </w:r>
            <w:r w:rsidRPr="000341DB">
              <w:rPr>
                <w:rFonts w:ascii="Verdana" w:eastAsia="Verdana" w:hAnsi="Verdana" w:cs="Verdana"/>
                <w:sz w:val="20"/>
                <w:szCs w:val="20"/>
                <w:lang w:val="uk-UA"/>
              </w:rPr>
              <w:t xml:space="preserve">Delivery of expert input during the workshop, including presentation of findings and </w:t>
            </w:r>
            <w:r w:rsidRPr="000341DB">
              <w:rPr>
                <w:rFonts w:ascii="Verdana" w:eastAsia="Verdana" w:hAnsi="Verdana" w:cs="Verdana"/>
                <w:sz w:val="20"/>
                <w:szCs w:val="20"/>
                <w:lang w:val="en-GB"/>
              </w:rPr>
              <w:t xml:space="preserve">support </w:t>
            </w:r>
            <w:r w:rsidRPr="000341DB">
              <w:rPr>
                <w:rFonts w:ascii="Verdana" w:eastAsia="Verdana" w:hAnsi="Verdana" w:cs="Verdana"/>
                <w:sz w:val="20"/>
                <w:szCs w:val="20"/>
                <w:lang w:val="uk-UA"/>
              </w:rPr>
              <w:t>and support of professional discussions</w:t>
            </w: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AFD4EF" w14:textId="24D376E3" w:rsidR="004A638C" w:rsidRPr="000341DB" w:rsidRDefault="00667AD1">
            <w:pPr>
              <w:spacing w:after="120" w:line="240" w:lineRule="auto"/>
              <w:rPr>
                <w:rFonts w:ascii="Verdana" w:hAnsi="Verdana"/>
                <w:sz w:val="20"/>
                <w:szCs w:val="20"/>
              </w:rPr>
            </w:pPr>
            <w:r w:rsidRPr="000341DB">
              <w:rPr>
                <w:rFonts w:ascii="Verdana" w:hAnsi="Verdana"/>
                <w:sz w:val="20"/>
                <w:szCs w:val="20"/>
              </w:rPr>
              <w:t>No later than December 2026</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45032F"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Ukrainian and English (where needed)</w:t>
            </w:r>
          </w:p>
        </w:tc>
      </w:tr>
      <w:tr w:rsidR="004A638C" w14:paraId="7D4DB6DA" w14:textId="77777777" w:rsidTr="00873565">
        <w:trPr>
          <w:trHeight w:val="112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F05E881"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B5616D" w14:textId="24EE8926" w:rsidR="004A638C" w:rsidRPr="000341DB" w:rsidRDefault="004A638C">
            <w:pPr>
              <w:rPr>
                <w:rFonts w:ascii="Verdana" w:eastAsia="Verdana" w:hAnsi="Verdana" w:cs="Verdana"/>
                <w:sz w:val="20"/>
                <w:szCs w:val="20"/>
                <w:lang w:val="uk-UA"/>
              </w:rPr>
            </w:pPr>
            <w:r w:rsidRPr="000341DB">
              <w:rPr>
                <w:rFonts w:ascii="Verdana" w:eastAsia="Verdana" w:hAnsi="Verdana" w:cs="Verdana"/>
                <w:sz w:val="20"/>
                <w:szCs w:val="20"/>
                <w:lang w:val="en-GB"/>
              </w:rPr>
              <w:t xml:space="preserve">2.5. </w:t>
            </w:r>
            <w:r w:rsidRPr="000341DB">
              <w:rPr>
                <w:rFonts w:ascii="Verdana" w:eastAsia="Verdana" w:hAnsi="Verdana" w:cs="Verdana"/>
                <w:sz w:val="20"/>
                <w:szCs w:val="20"/>
                <w:lang w:val="uk-UA"/>
              </w:rPr>
              <w:t>Workshop summary report outlining key discussion points, stakeholder feedback, and agreed recommendations</w:t>
            </w: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674DCB" w14:textId="77777777" w:rsidR="004A638C" w:rsidRPr="000341DB" w:rsidRDefault="004A638C">
            <w:pPr>
              <w:spacing w:after="120" w:line="240" w:lineRule="auto"/>
              <w:rPr>
                <w:rFonts w:ascii="Verdana" w:hAnsi="Verdana"/>
                <w:sz w:val="20"/>
                <w:szCs w:val="20"/>
              </w:rPr>
            </w:pPr>
            <w:r w:rsidRPr="00F20FC9">
              <w:rPr>
                <w:rFonts w:ascii="Verdana" w:hAnsi="Verdana"/>
                <w:sz w:val="20"/>
                <w:szCs w:val="20"/>
              </w:rPr>
              <w:t>No later than the contract end date</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202B41"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 xml:space="preserve">Subject </w:t>
            </w:r>
            <w:r w:rsidRPr="00F20FC9">
              <w:rPr>
                <w:rFonts w:ascii="Verdana" w:hAnsi="Verdana"/>
                <w:sz w:val="20"/>
                <w:szCs w:val="20"/>
              </w:rPr>
              <w:t xml:space="preserve">to the NACP </w:t>
            </w:r>
            <w:r w:rsidRPr="000341DB">
              <w:rPr>
                <w:rFonts w:ascii="Verdana" w:hAnsi="Verdana"/>
                <w:sz w:val="20"/>
                <w:szCs w:val="20"/>
              </w:rPr>
              <w:t>approval and EUACI oversight</w:t>
            </w:r>
          </w:p>
          <w:p w14:paraId="0C283389" w14:textId="77777777" w:rsidR="004A638C" w:rsidRPr="000341DB" w:rsidRDefault="004A638C">
            <w:pPr>
              <w:spacing w:after="120" w:line="240" w:lineRule="auto"/>
              <w:rPr>
                <w:rFonts w:ascii="Verdana" w:hAnsi="Verdana"/>
                <w:sz w:val="20"/>
                <w:szCs w:val="20"/>
              </w:rPr>
            </w:pPr>
            <w:r w:rsidRPr="000341DB">
              <w:rPr>
                <w:rFonts w:ascii="Verdana" w:hAnsi="Verdana"/>
                <w:sz w:val="20"/>
                <w:szCs w:val="20"/>
              </w:rPr>
              <w:t>Ukrainian and English</w:t>
            </w:r>
          </w:p>
        </w:tc>
      </w:tr>
      <w:tr w:rsidR="004A638C" w14:paraId="21165FC1" w14:textId="77777777" w:rsidTr="00873565">
        <w:trPr>
          <w:trHeight w:val="560"/>
          <w:jc w:val="center"/>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96CD038" w14:textId="77777777" w:rsidR="004A638C" w:rsidRDefault="004A638C">
            <w:pPr>
              <w:spacing w:after="120" w:line="240" w:lineRule="auto"/>
              <w:rPr>
                <w:rFonts w:ascii="Verdana" w:hAnsi="Verdana"/>
                <w:sz w:val="20"/>
                <w:szCs w:val="20"/>
              </w:rPr>
            </w:pPr>
            <w:r>
              <w:rPr>
                <w:rFonts w:ascii="Verdana" w:hAnsi="Verdana"/>
                <w:sz w:val="20"/>
                <w:szCs w:val="20"/>
              </w:rPr>
              <w:t>3.</w:t>
            </w:r>
          </w:p>
        </w:tc>
        <w:tc>
          <w:tcPr>
            <w:tcW w:w="926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7CB41B" w14:textId="77777777" w:rsidR="004A638C" w:rsidRDefault="004A638C">
            <w:pPr>
              <w:spacing w:after="120" w:line="240" w:lineRule="auto"/>
              <w:jc w:val="center"/>
              <w:rPr>
                <w:rFonts w:ascii="Verdana" w:hAnsi="Verdana"/>
                <w:b/>
                <w:bCs/>
                <w:sz w:val="20"/>
                <w:szCs w:val="20"/>
              </w:rPr>
            </w:pPr>
            <w:r>
              <w:rPr>
                <w:rFonts w:ascii="Verdana" w:eastAsia="Verdana" w:hAnsi="Verdana" w:cs="Verdana"/>
                <w:b/>
                <w:bCs/>
                <w:sz w:val="20"/>
                <w:szCs w:val="20"/>
                <w:lang w:val="uk-UA"/>
              </w:rPr>
              <w:t xml:space="preserve">Reporting and </w:t>
            </w:r>
            <w:r>
              <w:rPr>
                <w:rFonts w:ascii="Verdana" w:eastAsia="Verdana" w:hAnsi="Verdana" w:cs="Verdana"/>
                <w:b/>
                <w:bCs/>
                <w:sz w:val="20"/>
                <w:szCs w:val="20"/>
                <w:lang w:val="en-GB"/>
              </w:rPr>
              <w:t>c</w:t>
            </w:r>
            <w:r>
              <w:rPr>
                <w:rFonts w:ascii="Verdana" w:eastAsia="Verdana" w:hAnsi="Verdana" w:cs="Verdana"/>
                <w:b/>
                <w:bCs/>
                <w:sz w:val="20"/>
                <w:szCs w:val="20"/>
                <w:lang w:val="uk-UA"/>
              </w:rPr>
              <w:t>ommunication</w:t>
            </w:r>
          </w:p>
        </w:tc>
      </w:tr>
      <w:tr w:rsidR="004A638C" w14:paraId="57CB7274" w14:textId="77777777" w:rsidTr="00873565">
        <w:trPr>
          <w:trHeight w:val="1300"/>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98EB656"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F5F42E" w14:textId="7EA37A7E" w:rsidR="004A638C" w:rsidRDefault="004A638C">
            <w:pPr>
              <w:rPr>
                <w:rFonts w:ascii="Verdana" w:eastAsia="Verdana" w:hAnsi="Verdana" w:cs="Verdana"/>
                <w:sz w:val="20"/>
                <w:szCs w:val="20"/>
                <w:lang w:val="uk-UA"/>
              </w:rPr>
            </w:pPr>
            <w:r>
              <w:rPr>
                <w:rFonts w:ascii="Verdana" w:eastAsia="Verdana" w:hAnsi="Verdana" w:cs="Verdana"/>
                <w:sz w:val="20"/>
                <w:szCs w:val="20"/>
                <w:lang w:val="en-GB"/>
              </w:rPr>
              <w:t>3.</w:t>
            </w:r>
            <w:r w:rsidR="00BB510C">
              <w:rPr>
                <w:rFonts w:ascii="Verdana" w:eastAsia="Verdana" w:hAnsi="Verdana" w:cs="Verdana"/>
                <w:sz w:val="20"/>
                <w:szCs w:val="20"/>
                <w:lang w:val="en-GB"/>
              </w:rPr>
              <w:t>1</w:t>
            </w:r>
            <w:r>
              <w:rPr>
                <w:rFonts w:ascii="Verdana" w:eastAsia="Verdana" w:hAnsi="Verdana" w:cs="Verdana"/>
                <w:sz w:val="20"/>
                <w:szCs w:val="20"/>
                <w:lang w:val="en-GB"/>
              </w:rPr>
              <w:t xml:space="preserve">. </w:t>
            </w:r>
            <w:r>
              <w:rPr>
                <w:rFonts w:ascii="Verdana" w:eastAsia="Verdana" w:hAnsi="Verdana" w:cs="Verdana"/>
                <w:sz w:val="20"/>
                <w:szCs w:val="20"/>
                <w:lang w:val="uk-UA"/>
              </w:rPr>
              <w:t xml:space="preserve">Participation in coordination meetings with NACP and the </w:t>
            </w:r>
            <w:r>
              <w:rPr>
                <w:rFonts w:ascii="Verdana" w:eastAsia="Verdana" w:hAnsi="Verdana" w:cs="Verdana"/>
                <w:sz w:val="20"/>
                <w:szCs w:val="20"/>
                <w:lang w:val="en-GB"/>
              </w:rPr>
              <w:t>EUACI (if applicable)</w:t>
            </w:r>
          </w:p>
          <w:p w14:paraId="40A57AFA" w14:textId="77777777" w:rsidR="004A638C" w:rsidRDefault="004A638C">
            <w:pPr>
              <w:rPr>
                <w:rFonts w:ascii="Verdana" w:eastAsia="Verdana" w:hAnsi="Verdana" w:cs="Verdana"/>
                <w:sz w:val="20"/>
                <w:szCs w:val="20"/>
                <w:lang w:val="en-GB"/>
              </w:rPr>
            </w:pP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6BA2BC" w14:textId="77777777" w:rsidR="004A638C" w:rsidRDefault="004A638C">
            <w:pPr>
              <w:spacing w:after="120" w:line="240" w:lineRule="auto"/>
              <w:rPr>
                <w:rFonts w:ascii="Verdana" w:hAnsi="Verdana"/>
                <w:sz w:val="20"/>
                <w:szCs w:val="20"/>
              </w:rPr>
            </w:pPr>
            <w:r>
              <w:rPr>
                <w:rFonts w:ascii="Verdana" w:hAnsi="Verdana"/>
                <w:sz w:val="20"/>
                <w:szCs w:val="20"/>
              </w:rPr>
              <w:t>During the contract period</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4EDEEF" w14:textId="609F32B3" w:rsidR="004A638C" w:rsidRDefault="00BB510C">
            <w:pPr>
              <w:spacing w:after="120" w:line="240" w:lineRule="auto"/>
              <w:rPr>
                <w:rFonts w:ascii="Verdana" w:hAnsi="Verdana"/>
                <w:sz w:val="20"/>
                <w:szCs w:val="20"/>
              </w:rPr>
            </w:pPr>
            <w:r>
              <w:rPr>
                <w:rFonts w:ascii="Verdana" w:hAnsi="Verdana"/>
                <w:sz w:val="20"/>
                <w:szCs w:val="20"/>
              </w:rPr>
              <w:t>-</w:t>
            </w:r>
          </w:p>
        </w:tc>
      </w:tr>
      <w:tr w:rsidR="004A638C" w14:paraId="171FE5AC" w14:textId="77777777" w:rsidTr="00873565">
        <w:trPr>
          <w:trHeight w:val="1300"/>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2F2C11B" w14:textId="77777777" w:rsidR="004A638C" w:rsidRDefault="004A638C">
            <w:pPr>
              <w:rPr>
                <w:rFonts w:ascii="Verdana" w:hAnsi="Verdana"/>
                <w:sz w:val="20"/>
                <w:szCs w:val="20"/>
              </w:rPr>
            </w:pPr>
          </w:p>
        </w:tc>
        <w:tc>
          <w:tcPr>
            <w:tcW w:w="326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5E6F10B" w14:textId="2C462600" w:rsidR="004A638C" w:rsidRPr="00F668DF" w:rsidRDefault="004A638C">
            <w:pPr>
              <w:rPr>
                <w:rFonts w:ascii="Verdana" w:eastAsia="Verdana" w:hAnsi="Verdana" w:cs="Verdana"/>
                <w:sz w:val="20"/>
                <w:szCs w:val="20"/>
                <w:lang w:val="uk-UA"/>
              </w:rPr>
            </w:pPr>
            <w:r>
              <w:rPr>
                <w:rFonts w:ascii="Verdana" w:eastAsia="Verdana" w:hAnsi="Verdana" w:cs="Verdana"/>
                <w:sz w:val="20"/>
                <w:szCs w:val="20"/>
                <w:lang w:val="en-GB"/>
              </w:rPr>
              <w:t>3.</w:t>
            </w:r>
            <w:r w:rsidR="00BB510C">
              <w:rPr>
                <w:rFonts w:ascii="Verdana" w:eastAsia="Verdana" w:hAnsi="Verdana" w:cs="Verdana"/>
                <w:sz w:val="20"/>
                <w:szCs w:val="20"/>
                <w:lang w:val="en-GB"/>
              </w:rPr>
              <w:t>2</w:t>
            </w:r>
            <w:r>
              <w:rPr>
                <w:rFonts w:ascii="Verdana" w:eastAsia="Verdana" w:hAnsi="Verdana" w:cs="Verdana"/>
                <w:sz w:val="20"/>
                <w:szCs w:val="20"/>
                <w:lang w:val="en-GB"/>
              </w:rPr>
              <w:t xml:space="preserve">. </w:t>
            </w:r>
            <w:r>
              <w:rPr>
                <w:rFonts w:ascii="Verdana" w:eastAsia="Verdana" w:hAnsi="Verdana" w:cs="Verdana"/>
                <w:sz w:val="20"/>
                <w:szCs w:val="20"/>
                <w:lang w:val="uk-UA"/>
              </w:rPr>
              <w:t>Final assignment report summarising the work performed, key findings, and recommendations</w:t>
            </w:r>
            <w:r w:rsidR="00F668DF">
              <w:rPr>
                <w:rFonts w:ascii="Verdana" w:eastAsia="Verdana" w:hAnsi="Verdana" w:cs="Verdana"/>
                <w:sz w:val="20"/>
                <w:szCs w:val="20"/>
                <w:lang w:val="en-GB"/>
              </w:rPr>
              <w:t xml:space="preserve">. </w:t>
            </w:r>
            <w:r w:rsidR="00F668DF" w:rsidRPr="00F668DF">
              <w:rPr>
                <w:rFonts w:ascii="Verdana" w:eastAsia="Verdana" w:hAnsi="Verdana" w:cs="Verdana"/>
                <w:sz w:val="20"/>
                <w:szCs w:val="20"/>
                <w:lang w:val="uk-UA"/>
              </w:rPr>
              <w:t xml:space="preserve">All final versions of documents developed during the assignment that demonstrate the achievement of the expected </w:t>
            </w:r>
            <w:r w:rsidR="00F668DF">
              <w:rPr>
                <w:rFonts w:ascii="Verdana" w:eastAsia="Verdana" w:hAnsi="Verdana" w:cs="Verdana"/>
                <w:sz w:val="20"/>
                <w:szCs w:val="20"/>
                <w:lang w:val="en-GB"/>
              </w:rPr>
              <w:t>deliverables</w:t>
            </w:r>
            <w:r w:rsidR="00F668DF" w:rsidRPr="00F668DF">
              <w:rPr>
                <w:rFonts w:ascii="Verdana" w:eastAsia="Verdana" w:hAnsi="Verdana" w:cs="Verdana"/>
                <w:sz w:val="20"/>
                <w:szCs w:val="20"/>
                <w:lang w:val="uk-UA"/>
              </w:rPr>
              <w:t xml:space="preserve"> shall be attached to the final report</w:t>
            </w:r>
            <w:r w:rsidR="00F668DF">
              <w:rPr>
                <w:rFonts w:ascii="Verdana" w:eastAsia="Verdana" w:hAnsi="Verdana" w:cs="Verdana"/>
                <w:sz w:val="20"/>
                <w:szCs w:val="20"/>
                <w:lang w:val="uk-UA"/>
              </w:rPr>
              <w:t>.</w:t>
            </w:r>
          </w:p>
          <w:p w14:paraId="27B9EA5F" w14:textId="77777777" w:rsidR="004A638C" w:rsidRDefault="004A638C">
            <w:pPr>
              <w:rPr>
                <w:rFonts w:ascii="Verdana" w:eastAsia="Verdana" w:hAnsi="Verdana" w:cs="Verdana"/>
                <w:sz w:val="20"/>
                <w:szCs w:val="20"/>
                <w:lang w:val="en-GB"/>
              </w:rPr>
            </w:pPr>
          </w:p>
        </w:tc>
        <w:tc>
          <w:tcPr>
            <w:tcW w:w="255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60FAE8" w14:textId="77777777" w:rsidR="004A638C" w:rsidRDefault="004A638C">
            <w:pPr>
              <w:spacing w:after="120" w:line="240" w:lineRule="auto"/>
              <w:rPr>
                <w:rFonts w:ascii="Verdana" w:hAnsi="Verdana"/>
                <w:sz w:val="20"/>
                <w:szCs w:val="20"/>
              </w:rPr>
            </w:pPr>
            <w:r>
              <w:rPr>
                <w:rFonts w:ascii="Verdana" w:hAnsi="Verdana"/>
                <w:sz w:val="20"/>
                <w:szCs w:val="20"/>
              </w:rPr>
              <w:t xml:space="preserve">January 2027 </w:t>
            </w:r>
          </w:p>
        </w:tc>
        <w:tc>
          <w:tcPr>
            <w:tcW w:w="34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D865930" w14:textId="77777777" w:rsidR="004A638C" w:rsidRDefault="004A638C">
            <w:pPr>
              <w:spacing w:after="120" w:line="240" w:lineRule="auto"/>
              <w:rPr>
                <w:rFonts w:ascii="Verdana" w:hAnsi="Verdana"/>
                <w:sz w:val="20"/>
                <w:szCs w:val="20"/>
              </w:rPr>
            </w:pPr>
            <w:r>
              <w:rPr>
                <w:rFonts w:ascii="Verdana" w:hAnsi="Verdana"/>
                <w:sz w:val="20"/>
                <w:szCs w:val="20"/>
              </w:rPr>
              <w:t xml:space="preserve">Subject to the EUACI approval </w:t>
            </w:r>
          </w:p>
          <w:p w14:paraId="26188E82" w14:textId="77777777" w:rsidR="004A638C" w:rsidRDefault="004A638C">
            <w:pPr>
              <w:spacing w:after="120" w:line="240" w:lineRule="auto"/>
              <w:rPr>
                <w:rFonts w:ascii="Verdana" w:hAnsi="Verdana"/>
                <w:sz w:val="20"/>
                <w:szCs w:val="20"/>
              </w:rPr>
            </w:pPr>
            <w:r>
              <w:rPr>
                <w:rFonts w:ascii="Verdana" w:hAnsi="Verdana"/>
                <w:sz w:val="20"/>
                <w:szCs w:val="20"/>
              </w:rPr>
              <w:t>English</w:t>
            </w:r>
          </w:p>
        </w:tc>
      </w:tr>
    </w:tbl>
    <w:p w14:paraId="4F5C4677" w14:textId="4DA665DB" w:rsidR="004A638C" w:rsidRDefault="004A638C" w:rsidP="00283C2F">
      <w:pPr>
        <w:pStyle w:val="NormalWeb"/>
        <w:spacing w:before="0" w:beforeAutospacing="0" w:after="0" w:afterAutospacing="0"/>
        <w:jc w:val="both"/>
        <w:textAlignment w:val="baseline"/>
        <w:rPr>
          <w:rFonts w:ascii="Verdana" w:eastAsia="Verdana" w:hAnsi="Verdana" w:cs="Verdana"/>
          <w:sz w:val="20"/>
          <w:szCs w:val="20"/>
        </w:rPr>
      </w:pPr>
    </w:p>
    <w:p w14:paraId="6550CCF7" w14:textId="77777777" w:rsidR="00B92750" w:rsidRDefault="00B92750" w:rsidP="00B92750">
      <w:pPr>
        <w:rPr>
          <w:rFonts w:ascii="Verdana" w:eastAsia="Verdana" w:hAnsi="Verdana" w:cs="Verdana"/>
          <w:b/>
          <w:bCs/>
          <w:sz w:val="20"/>
          <w:szCs w:val="20"/>
          <w:u w:val="single"/>
        </w:rPr>
      </w:pPr>
      <w:bookmarkStart w:id="5" w:name="_Hlk229482000"/>
      <w:bookmarkStart w:id="6" w:name="_Hlk229398508"/>
      <w:r w:rsidRPr="006F1049">
        <w:rPr>
          <w:rFonts w:ascii="Verdana" w:eastAsia="Verdana" w:hAnsi="Verdana" w:cs="Verdana"/>
          <w:b/>
          <w:bCs/>
          <w:sz w:val="20"/>
          <w:szCs w:val="20"/>
          <w:u w:val="single"/>
        </w:rPr>
        <w:t>Requirements for the Service Provider</w:t>
      </w:r>
    </w:p>
    <w:p w14:paraId="67D3FD50" w14:textId="77777777" w:rsidR="00B92750" w:rsidRDefault="00B92750" w:rsidP="00B92750">
      <w:pPr>
        <w:rPr>
          <w:rFonts w:ascii="Verdana" w:eastAsia="Verdana" w:hAnsi="Verdana" w:cs="Verdana"/>
          <w:b/>
          <w:bCs/>
          <w:sz w:val="20"/>
          <w:szCs w:val="20"/>
          <w:u w:val="single"/>
        </w:rPr>
      </w:pPr>
    </w:p>
    <w:p w14:paraId="4AA9E13F" w14:textId="77777777" w:rsidR="00B92750" w:rsidRPr="00F248E9" w:rsidRDefault="00B92750" w:rsidP="00B92750">
      <w:pPr>
        <w:pStyle w:val="Default"/>
        <w:rPr>
          <w:rFonts w:ascii="Verdana" w:eastAsia="Verdana" w:hAnsi="Verdana" w:cs="Verdana"/>
          <w:i/>
          <w:iCs/>
          <w:color w:val="auto"/>
          <w:sz w:val="20"/>
          <w:szCs w:val="20"/>
        </w:rPr>
      </w:pPr>
      <w:r w:rsidRPr="00F248E9">
        <w:rPr>
          <w:rFonts w:ascii="Verdana" w:eastAsia="Verdana" w:hAnsi="Verdana" w:cs="Verdana"/>
          <w:i/>
          <w:iCs/>
          <w:color w:val="auto"/>
          <w:sz w:val="20"/>
          <w:szCs w:val="20"/>
        </w:rPr>
        <w:t xml:space="preserve">Eligibility </w:t>
      </w:r>
    </w:p>
    <w:p w14:paraId="7232F909" w14:textId="77777777" w:rsidR="00B92750" w:rsidRPr="00F248E9" w:rsidRDefault="00B92750" w:rsidP="00B92750">
      <w:pPr>
        <w:pStyle w:val="Default"/>
        <w:rPr>
          <w:rFonts w:ascii="Verdana" w:eastAsia="Verdana" w:hAnsi="Verdana" w:cs="Verdana"/>
          <w:color w:val="auto"/>
          <w:sz w:val="20"/>
          <w:szCs w:val="20"/>
        </w:rPr>
      </w:pPr>
    </w:p>
    <w:p w14:paraId="5CC84FCA" w14:textId="77777777" w:rsidR="00B92750" w:rsidRPr="00B92750" w:rsidRDefault="00B92750" w:rsidP="00B92750">
      <w:pPr>
        <w:pStyle w:val="Default"/>
        <w:numPr>
          <w:ilvl w:val="0"/>
          <w:numId w:val="20"/>
        </w:numPr>
        <w:spacing w:after="55"/>
        <w:ind w:firstLine="426"/>
        <w:jc w:val="both"/>
        <w:rPr>
          <w:rFonts w:ascii="Verdana" w:eastAsia="Verdana" w:hAnsi="Verdana" w:cs="Verdana"/>
          <w:color w:val="auto"/>
          <w:sz w:val="20"/>
          <w:szCs w:val="20"/>
        </w:rPr>
      </w:pPr>
      <w:r w:rsidRPr="00B92750">
        <w:rPr>
          <w:rFonts w:ascii="Verdana" w:eastAsia="Verdana" w:hAnsi="Verdana" w:cs="Verdana"/>
          <w:color w:val="auto"/>
          <w:sz w:val="20"/>
          <w:szCs w:val="20"/>
        </w:rPr>
        <w:t>The Service Provider may be a legal entity, a private entrepreneur, or a private individual (in the case of non-residents of Ukraine), or a team thereof, officially registered in their respective country and legally authorised to provide the relevant services. In the case of a team, the contract may be concluded with one lead contractor.</w:t>
      </w:r>
    </w:p>
    <w:p w14:paraId="2476DD7F" w14:textId="77777777" w:rsidR="00B92750" w:rsidRDefault="00B92750" w:rsidP="00B92750">
      <w:pPr>
        <w:pStyle w:val="Default"/>
        <w:numPr>
          <w:ilvl w:val="0"/>
          <w:numId w:val="20"/>
        </w:numPr>
        <w:ind w:firstLine="426"/>
        <w:rPr>
          <w:rFonts w:ascii="Verdana" w:eastAsia="Verdana" w:hAnsi="Verdana" w:cs="Verdana"/>
          <w:color w:val="auto"/>
          <w:sz w:val="20"/>
          <w:szCs w:val="20"/>
        </w:rPr>
      </w:pPr>
      <w:r w:rsidRPr="00F248E9">
        <w:rPr>
          <w:rFonts w:ascii="Verdana" w:eastAsia="Verdana" w:hAnsi="Verdana" w:cs="Verdana"/>
          <w:color w:val="auto"/>
          <w:sz w:val="20"/>
          <w:szCs w:val="20"/>
        </w:rPr>
        <w:t xml:space="preserve">Fluency in Ukrainian (written and spoken) is mandatory. </w:t>
      </w:r>
    </w:p>
    <w:p w14:paraId="7F1C0A3B" w14:textId="77777777" w:rsidR="00B92750" w:rsidRDefault="00B92750" w:rsidP="00B92750">
      <w:pPr>
        <w:autoSpaceDE w:val="0"/>
        <w:autoSpaceDN w:val="0"/>
        <w:adjustRightInd w:val="0"/>
        <w:spacing w:line="240" w:lineRule="auto"/>
        <w:rPr>
          <w:rFonts w:ascii="Verdana" w:eastAsia="Verdana" w:hAnsi="Verdana" w:cs="Verdana"/>
          <w:i/>
          <w:iCs/>
          <w:sz w:val="20"/>
          <w:szCs w:val="20"/>
          <w:lang w:val="en-GB"/>
        </w:rPr>
      </w:pPr>
    </w:p>
    <w:p w14:paraId="73055316" w14:textId="48DE3AC9" w:rsidR="00156296" w:rsidRDefault="00B92750" w:rsidP="00C90E49">
      <w:pPr>
        <w:tabs>
          <w:tab w:val="left" w:pos="851"/>
        </w:tabs>
        <w:spacing w:after="120"/>
        <w:jc w:val="both"/>
        <w:rPr>
          <w:rFonts w:ascii="Verdana" w:eastAsia="Verdana" w:hAnsi="Verdana" w:cs="Verdana"/>
          <w:i/>
          <w:iCs/>
          <w:sz w:val="20"/>
          <w:szCs w:val="20"/>
          <w:lang w:val="en-GB"/>
        </w:rPr>
      </w:pPr>
      <w:r w:rsidRPr="00C90E49">
        <w:rPr>
          <w:rFonts w:ascii="Verdana" w:eastAsia="Verdana" w:hAnsi="Verdana" w:cs="Verdana"/>
          <w:i/>
          <w:iCs/>
          <w:sz w:val="20"/>
          <w:szCs w:val="20"/>
          <w:lang w:val="en-GB"/>
        </w:rPr>
        <w:t>Education background</w:t>
      </w:r>
    </w:p>
    <w:p w14:paraId="561959D2" w14:textId="2E516A21" w:rsidR="00B92750" w:rsidRPr="00D71812" w:rsidRDefault="00B92750" w:rsidP="00B92750">
      <w:pPr>
        <w:autoSpaceDE w:val="0"/>
        <w:autoSpaceDN w:val="0"/>
        <w:adjustRightInd w:val="0"/>
        <w:spacing w:line="240" w:lineRule="auto"/>
        <w:rPr>
          <w:rFonts w:ascii="Verdana" w:eastAsia="Verdana" w:hAnsi="Verdana" w:cs="Verdana"/>
          <w:sz w:val="20"/>
          <w:szCs w:val="20"/>
          <w:lang w:val="en-GB"/>
        </w:rPr>
      </w:pPr>
      <w:r w:rsidRPr="00D71812">
        <w:rPr>
          <w:rFonts w:ascii="Verdana" w:eastAsia="Verdana" w:hAnsi="Verdana" w:cs="Verdana"/>
          <w:sz w:val="20"/>
          <w:szCs w:val="20"/>
          <w:lang w:val="en-GB"/>
        </w:rPr>
        <w:t>The Service Provider (or proposed lead expert, if applicable) should possess:</w:t>
      </w:r>
    </w:p>
    <w:p w14:paraId="2597A050" w14:textId="77777777" w:rsidR="00B92750" w:rsidRPr="00D71812" w:rsidRDefault="00B92750" w:rsidP="00B92750">
      <w:pPr>
        <w:pStyle w:val="ListParagraph"/>
        <w:numPr>
          <w:ilvl w:val="0"/>
          <w:numId w:val="21"/>
        </w:numPr>
        <w:tabs>
          <w:tab w:val="left" w:pos="851"/>
        </w:tabs>
        <w:spacing w:after="0" w:line="240" w:lineRule="auto"/>
        <w:ind w:left="426" w:hanging="142"/>
        <w:jc w:val="both"/>
        <w:rPr>
          <w:rFonts w:ascii="Verdana" w:eastAsia="Verdana" w:hAnsi="Verdana" w:cs="Verdana"/>
          <w:sz w:val="20"/>
          <w:szCs w:val="20"/>
          <w:lang w:val="en-GB"/>
        </w:rPr>
      </w:pPr>
      <w:r w:rsidRPr="00D71812">
        <w:rPr>
          <w:rFonts w:ascii="Verdana" w:eastAsia="Verdana" w:hAnsi="Verdana" w:cs="Verdana"/>
          <w:sz w:val="20"/>
          <w:szCs w:val="20"/>
          <w:lang w:val="en-GB"/>
        </w:rPr>
        <w:t xml:space="preserve">An advanced university degree (Master’s degree or higher) in public policy, law, political science, international relations, security and defence studies, public administration, economics, or another relevant field; </w:t>
      </w:r>
    </w:p>
    <w:p w14:paraId="44EDDA6E" w14:textId="77777777" w:rsidR="00B92750" w:rsidRPr="00D71812" w:rsidRDefault="00B92750" w:rsidP="00B92750">
      <w:pPr>
        <w:pStyle w:val="ListParagraph"/>
        <w:numPr>
          <w:ilvl w:val="0"/>
          <w:numId w:val="22"/>
        </w:numPr>
        <w:tabs>
          <w:tab w:val="left" w:pos="851"/>
        </w:tabs>
        <w:spacing w:after="0" w:line="240" w:lineRule="auto"/>
        <w:ind w:left="426" w:hanging="142"/>
        <w:jc w:val="both"/>
        <w:rPr>
          <w:rFonts w:ascii="Verdana" w:eastAsia="Verdana" w:hAnsi="Verdana" w:cs="Verdana"/>
          <w:sz w:val="20"/>
          <w:szCs w:val="20"/>
          <w:lang w:val="en-GB"/>
        </w:rPr>
      </w:pPr>
      <w:r w:rsidRPr="00D71812">
        <w:rPr>
          <w:rFonts w:ascii="Verdana" w:eastAsia="Verdana" w:hAnsi="Verdana" w:cs="Verdana"/>
          <w:sz w:val="20"/>
          <w:szCs w:val="20"/>
          <w:lang w:val="en-GB"/>
        </w:rPr>
        <w:t xml:space="preserve">Additional academic or professional specialisation related to anti-corruption, governance, defence policy, public procurement, risk management, or integrity building will be considered an advantage; </w:t>
      </w:r>
    </w:p>
    <w:p w14:paraId="73E17EBB" w14:textId="77777777" w:rsidR="00B92750" w:rsidRDefault="00B92750" w:rsidP="00B92750">
      <w:pPr>
        <w:pStyle w:val="ListParagraph"/>
        <w:numPr>
          <w:ilvl w:val="0"/>
          <w:numId w:val="21"/>
        </w:numPr>
        <w:tabs>
          <w:tab w:val="left" w:pos="851"/>
        </w:tabs>
        <w:spacing w:after="120"/>
        <w:ind w:left="426" w:hanging="142"/>
        <w:jc w:val="both"/>
        <w:rPr>
          <w:rFonts w:ascii="Verdana" w:eastAsia="Verdana" w:hAnsi="Verdana" w:cs="Verdana"/>
          <w:sz w:val="20"/>
          <w:szCs w:val="20"/>
          <w:lang w:val="en-GB"/>
        </w:rPr>
      </w:pPr>
      <w:r w:rsidRPr="00D71812">
        <w:rPr>
          <w:rFonts w:ascii="Verdana" w:eastAsia="Verdana" w:hAnsi="Verdana" w:cs="Verdana"/>
          <w:sz w:val="20"/>
          <w:szCs w:val="20"/>
          <w:lang w:val="en-GB"/>
        </w:rPr>
        <w:t>Demonstrated professional or academic engagement in areas relevant to the assignment.</w:t>
      </w:r>
    </w:p>
    <w:p w14:paraId="2CC7C4CB" w14:textId="77777777" w:rsidR="00B92750" w:rsidRPr="00D71812" w:rsidRDefault="00B92750" w:rsidP="00B92750">
      <w:pPr>
        <w:tabs>
          <w:tab w:val="left" w:pos="851"/>
        </w:tabs>
        <w:spacing w:after="120"/>
        <w:jc w:val="both"/>
        <w:rPr>
          <w:rFonts w:ascii="Verdana" w:eastAsia="Verdana" w:hAnsi="Verdana" w:cs="Verdana"/>
          <w:i/>
          <w:iCs/>
          <w:sz w:val="20"/>
          <w:szCs w:val="20"/>
          <w:lang w:val="en-GB"/>
        </w:rPr>
      </w:pPr>
      <w:r w:rsidRPr="00D71812">
        <w:rPr>
          <w:rFonts w:ascii="Verdana" w:eastAsia="Verdana" w:hAnsi="Verdana" w:cs="Verdana"/>
          <w:i/>
          <w:iCs/>
          <w:sz w:val="20"/>
          <w:szCs w:val="20"/>
          <w:lang w:val="en-GB"/>
        </w:rPr>
        <w:t>Professional experience</w:t>
      </w:r>
    </w:p>
    <w:p w14:paraId="06D57924" w14:textId="77777777" w:rsidR="00B92750" w:rsidRPr="00156296" w:rsidRDefault="00B92750" w:rsidP="00156296">
      <w:pPr>
        <w:spacing w:after="120"/>
        <w:jc w:val="both"/>
        <w:rPr>
          <w:lang w:val="en-GB"/>
        </w:rPr>
      </w:pPr>
      <w:r w:rsidRPr="00156296">
        <w:rPr>
          <w:rFonts w:ascii="Verdana" w:eastAsia="Verdana" w:hAnsi="Verdana" w:cs="Verdana"/>
          <w:sz w:val="20"/>
          <w:szCs w:val="20"/>
          <w:lang w:val="en-GB"/>
        </w:rPr>
        <w:t>The Service Provider (company or individual expert) shall demonstrate</w:t>
      </w:r>
      <w:r w:rsidRPr="00156296">
        <w:rPr>
          <w:lang w:val="en-GB"/>
        </w:rPr>
        <w:t>:</w:t>
      </w:r>
    </w:p>
    <w:p w14:paraId="469501F1" w14:textId="77777777" w:rsidR="00B92750" w:rsidRPr="00BB2E34" w:rsidRDefault="00B92750" w:rsidP="00B92750">
      <w:pPr>
        <w:pStyle w:val="Default"/>
        <w:spacing w:after="55"/>
        <w:ind w:left="709" w:hanging="283"/>
        <w:jc w:val="both"/>
        <w:rPr>
          <w:rFonts w:ascii="Verdana" w:eastAsia="Verdana" w:hAnsi="Verdana" w:cs="Verdana"/>
          <w:sz w:val="20"/>
          <w:szCs w:val="20"/>
        </w:rPr>
      </w:pPr>
      <w:r w:rsidRPr="00D71812">
        <w:rPr>
          <w:rFonts w:ascii="Verdana" w:eastAsia="Verdana" w:hAnsi="Verdana" w:cs="Verdana"/>
          <w:sz w:val="20"/>
          <w:szCs w:val="20"/>
        </w:rPr>
        <w:t xml:space="preserve">1. </w:t>
      </w:r>
      <w:r w:rsidRPr="00D71812">
        <w:rPr>
          <w:rFonts w:ascii="Verdana" w:eastAsia="Verdana" w:hAnsi="Verdana" w:cs="Verdana"/>
          <w:color w:val="auto"/>
          <w:sz w:val="20"/>
          <w:szCs w:val="20"/>
        </w:rPr>
        <w:t xml:space="preserve">At least 7 years of proven expertise in anti-corruption policy, integrity building, corruption risk assessment, or governance reforms; </w:t>
      </w:r>
    </w:p>
    <w:p w14:paraId="5D78464D" w14:textId="77777777" w:rsidR="00B92750" w:rsidRPr="00D71812" w:rsidRDefault="00B92750" w:rsidP="00B92750">
      <w:pPr>
        <w:pStyle w:val="Default"/>
        <w:spacing w:after="55"/>
        <w:ind w:left="709" w:hanging="283"/>
        <w:jc w:val="both"/>
        <w:rPr>
          <w:rFonts w:ascii="Verdana" w:eastAsia="Verdana" w:hAnsi="Verdana" w:cs="Verdana"/>
          <w:sz w:val="20"/>
          <w:szCs w:val="20"/>
        </w:rPr>
      </w:pPr>
      <w:r w:rsidRPr="00BB2E34">
        <w:rPr>
          <w:rFonts w:ascii="Verdana" w:eastAsia="Verdana" w:hAnsi="Verdana" w:cs="Verdana"/>
          <w:color w:val="auto"/>
          <w:sz w:val="20"/>
          <w:szCs w:val="20"/>
        </w:rPr>
        <w:t xml:space="preserve">2. </w:t>
      </w:r>
      <w:r w:rsidRPr="00D71812">
        <w:rPr>
          <w:rFonts w:ascii="Verdana" w:eastAsia="Verdana" w:hAnsi="Verdana" w:cs="Verdana"/>
          <w:color w:val="auto"/>
          <w:sz w:val="20"/>
          <w:szCs w:val="20"/>
        </w:rPr>
        <w:t xml:space="preserve">Strong understanding of the security and defence sector, including institutional, regulatory, and operational specificities; </w:t>
      </w:r>
    </w:p>
    <w:p w14:paraId="6A2DEA50"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color w:val="auto"/>
          <w:sz w:val="20"/>
          <w:szCs w:val="20"/>
        </w:rPr>
        <w:t xml:space="preserve">3. </w:t>
      </w:r>
      <w:r w:rsidRPr="00D71812">
        <w:rPr>
          <w:rFonts w:ascii="Verdana" w:eastAsia="Verdana" w:hAnsi="Verdana" w:cs="Verdana"/>
          <w:color w:val="auto"/>
          <w:sz w:val="20"/>
          <w:szCs w:val="20"/>
        </w:rPr>
        <w:t>Demonstrated experience in analytical and research work</w:t>
      </w:r>
      <w:r w:rsidRPr="00D71812">
        <w:rPr>
          <w:rFonts w:ascii="Verdana" w:eastAsia="Verdana" w:hAnsi="Verdana" w:cs="Verdana"/>
          <w:sz w:val="20"/>
          <w:szCs w:val="20"/>
        </w:rPr>
        <w:t xml:space="preserve"> related to defence, public governance, public procurement, or institutional reform; </w:t>
      </w:r>
    </w:p>
    <w:p w14:paraId="7E82DFF1"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4. </w:t>
      </w:r>
      <w:r w:rsidRPr="00D71812">
        <w:rPr>
          <w:rFonts w:ascii="Verdana" w:eastAsia="Verdana" w:hAnsi="Verdana" w:cs="Verdana"/>
          <w:sz w:val="20"/>
          <w:szCs w:val="20"/>
        </w:rPr>
        <w:t xml:space="preserve">Familiarity with international standards and approaches relevant to integrity building and corruption risk management, including NATO, OECD, EU, or comparable frameworks; </w:t>
      </w:r>
    </w:p>
    <w:p w14:paraId="7DD61B6E"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5. </w:t>
      </w:r>
      <w:r w:rsidRPr="00D71812">
        <w:rPr>
          <w:rFonts w:ascii="Verdana" w:eastAsia="Verdana" w:hAnsi="Verdana" w:cs="Verdana"/>
          <w:sz w:val="20"/>
          <w:szCs w:val="20"/>
        </w:rPr>
        <w:t>Proven experience in preparing</w:t>
      </w:r>
      <w:r>
        <w:rPr>
          <w:rFonts w:ascii="Verdana" w:eastAsia="Verdana" w:hAnsi="Verdana" w:cs="Verdana"/>
          <w:sz w:val="20"/>
          <w:szCs w:val="20"/>
        </w:rPr>
        <w:t xml:space="preserve"> high-quality</w:t>
      </w:r>
      <w:r w:rsidRPr="00D71812">
        <w:rPr>
          <w:rFonts w:ascii="Verdana" w:eastAsia="Verdana" w:hAnsi="Verdana" w:cs="Verdana"/>
          <w:sz w:val="20"/>
          <w:szCs w:val="20"/>
        </w:rPr>
        <w:t xml:space="preserve"> analytical papers, policy recommendations, </w:t>
      </w:r>
      <w:r>
        <w:rPr>
          <w:rFonts w:ascii="Verdana" w:eastAsia="Verdana" w:hAnsi="Verdana" w:cs="Verdana"/>
          <w:sz w:val="20"/>
          <w:szCs w:val="20"/>
        </w:rPr>
        <w:t xml:space="preserve">practical and user-oriented </w:t>
      </w:r>
      <w:r w:rsidRPr="00D71812">
        <w:rPr>
          <w:rFonts w:ascii="Verdana" w:eastAsia="Verdana" w:hAnsi="Verdana" w:cs="Verdana"/>
          <w:sz w:val="20"/>
          <w:szCs w:val="20"/>
        </w:rPr>
        <w:t xml:space="preserve">methodologies, </w:t>
      </w:r>
      <w:r w:rsidRPr="00904121">
        <w:rPr>
          <w:rFonts w:ascii="Verdana" w:eastAsia="Verdana" w:hAnsi="Verdana" w:cs="Verdana"/>
          <w:sz w:val="20"/>
          <w:szCs w:val="20"/>
        </w:rPr>
        <w:t xml:space="preserve">comparative research </w:t>
      </w:r>
      <w:r w:rsidRPr="006E1A71">
        <w:rPr>
          <w:rFonts w:ascii="Verdana" w:eastAsia="Verdana" w:hAnsi="Verdana" w:cs="Verdana"/>
          <w:sz w:val="20"/>
          <w:szCs w:val="20"/>
        </w:rPr>
        <w:t>or similar expert products</w:t>
      </w:r>
      <w:r>
        <w:rPr>
          <w:rFonts w:ascii="Verdana" w:eastAsia="Verdana" w:hAnsi="Verdana" w:cs="Verdana"/>
          <w:sz w:val="20"/>
          <w:szCs w:val="20"/>
        </w:rPr>
        <w:t xml:space="preserve"> </w:t>
      </w:r>
      <w:r w:rsidRPr="00904121">
        <w:rPr>
          <w:rFonts w:ascii="Verdana" w:eastAsia="Verdana" w:hAnsi="Verdana" w:cs="Verdana"/>
          <w:sz w:val="20"/>
          <w:szCs w:val="20"/>
        </w:rPr>
        <w:t xml:space="preserve">using international sources and </w:t>
      </w:r>
      <w:r>
        <w:rPr>
          <w:rFonts w:ascii="Verdana" w:eastAsia="Verdana" w:hAnsi="Verdana" w:cs="Verdana"/>
          <w:sz w:val="20"/>
          <w:szCs w:val="20"/>
        </w:rPr>
        <w:t>good</w:t>
      </w:r>
      <w:r w:rsidRPr="00904121">
        <w:rPr>
          <w:rFonts w:ascii="Verdana" w:eastAsia="Verdana" w:hAnsi="Verdana" w:cs="Verdana"/>
          <w:sz w:val="20"/>
          <w:szCs w:val="20"/>
        </w:rPr>
        <w:t xml:space="preserve"> practices</w:t>
      </w:r>
      <w:r>
        <w:rPr>
          <w:rFonts w:ascii="Verdana" w:eastAsia="Verdana" w:hAnsi="Verdana" w:cs="Verdana"/>
          <w:sz w:val="20"/>
          <w:szCs w:val="20"/>
        </w:rPr>
        <w:t>;</w:t>
      </w:r>
    </w:p>
    <w:p w14:paraId="19E746F8"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6. </w:t>
      </w:r>
      <w:r w:rsidRPr="00D71812">
        <w:rPr>
          <w:rFonts w:ascii="Verdana" w:eastAsia="Verdana" w:hAnsi="Verdana" w:cs="Verdana"/>
          <w:sz w:val="20"/>
          <w:szCs w:val="20"/>
        </w:rPr>
        <w:t xml:space="preserve">Experience in </w:t>
      </w:r>
      <w:r>
        <w:rPr>
          <w:rFonts w:ascii="Verdana" w:eastAsia="Verdana" w:hAnsi="Verdana" w:cs="Verdana"/>
          <w:sz w:val="20"/>
          <w:szCs w:val="20"/>
        </w:rPr>
        <w:t xml:space="preserve">preparing and </w:t>
      </w:r>
      <w:r w:rsidRPr="00D71812">
        <w:rPr>
          <w:rFonts w:ascii="Verdana" w:eastAsia="Verdana" w:hAnsi="Verdana" w:cs="Verdana"/>
          <w:sz w:val="20"/>
          <w:szCs w:val="20"/>
        </w:rPr>
        <w:t xml:space="preserve">facilitating stakeholder consultations, expert discussions, workshops, or multi-stakeholder engagements; </w:t>
      </w:r>
    </w:p>
    <w:p w14:paraId="589A633F"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7. </w:t>
      </w:r>
      <w:r w:rsidRPr="00D32864">
        <w:rPr>
          <w:rFonts w:ascii="Verdana" w:eastAsia="Verdana" w:hAnsi="Verdana" w:cs="Verdana"/>
          <w:sz w:val="20"/>
          <w:szCs w:val="20"/>
        </w:rPr>
        <w:t>Capacity to analyse regulatory frameworks, institutional arrangements, and practical implementation challenges</w:t>
      </w:r>
      <w:r>
        <w:rPr>
          <w:rFonts w:ascii="Verdana" w:eastAsia="Verdana" w:hAnsi="Verdana" w:cs="Verdana"/>
          <w:sz w:val="20"/>
          <w:szCs w:val="20"/>
        </w:rPr>
        <w:t>;</w:t>
      </w:r>
    </w:p>
    <w:p w14:paraId="35DE48D8" w14:textId="77777777" w:rsidR="00B92750"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8. </w:t>
      </w:r>
      <w:r w:rsidRPr="00F70B5F">
        <w:rPr>
          <w:rFonts w:ascii="Verdana" w:eastAsia="Verdana" w:hAnsi="Verdana" w:cs="Verdana"/>
          <w:sz w:val="20"/>
          <w:szCs w:val="20"/>
        </w:rPr>
        <w:t>Excellent analytical, drafting, and communication skills</w:t>
      </w:r>
      <w:r>
        <w:rPr>
          <w:rFonts w:ascii="Verdana" w:eastAsia="Verdana" w:hAnsi="Verdana" w:cs="Verdana"/>
          <w:sz w:val="20"/>
          <w:szCs w:val="20"/>
        </w:rPr>
        <w:t>;</w:t>
      </w:r>
    </w:p>
    <w:p w14:paraId="2B9D61F5" w14:textId="77777777" w:rsidR="00B92750" w:rsidRDefault="00B92750" w:rsidP="00B92750">
      <w:pPr>
        <w:pStyle w:val="Default"/>
        <w:spacing w:after="55"/>
        <w:ind w:left="709" w:hanging="283"/>
        <w:jc w:val="both"/>
        <w:rPr>
          <w:rFonts w:ascii="Verdana" w:eastAsia="Verdana" w:hAnsi="Verdana" w:cs="Verdana"/>
          <w:sz w:val="20"/>
          <w:szCs w:val="20"/>
        </w:rPr>
      </w:pPr>
      <w:r w:rsidRPr="00D71812">
        <w:rPr>
          <w:rFonts w:ascii="Verdana" w:eastAsia="Verdana" w:hAnsi="Verdana" w:cs="Verdana"/>
          <w:sz w:val="20"/>
          <w:szCs w:val="20"/>
        </w:rPr>
        <w:t xml:space="preserve">9. </w:t>
      </w:r>
      <w:r>
        <w:rPr>
          <w:rFonts w:ascii="Verdana" w:eastAsia="Verdana" w:hAnsi="Verdana" w:cs="Verdana"/>
          <w:sz w:val="20"/>
          <w:szCs w:val="20"/>
        </w:rPr>
        <w:t>Ability</w:t>
      </w:r>
      <w:r w:rsidRPr="00D71812">
        <w:rPr>
          <w:rFonts w:ascii="Verdana" w:eastAsia="Verdana" w:hAnsi="Verdana" w:cs="Verdana"/>
          <w:sz w:val="20"/>
          <w:szCs w:val="20"/>
        </w:rPr>
        <w:t xml:space="preserve"> to ensure economic and technical capacities to perform the requested services as well as a relevant legal status to hire experts</w:t>
      </w:r>
      <w:r>
        <w:rPr>
          <w:rFonts w:ascii="Verdana" w:eastAsia="Verdana" w:hAnsi="Verdana" w:cs="Verdana"/>
          <w:sz w:val="20"/>
          <w:szCs w:val="20"/>
        </w:rPr>
        <w:t xml:space="preserve"> (if applicable);</w:t>
      </w:r>
    </w:p>
    <w:p w14:paraId="4FC3C586" w14:textId="77777777" w:rsidR="00B92750" w:rsidRDefault="00B92750" w:rsidP="00B92750">
      <w:pPr>
        <w:pStyle w:val="Default"/>
        <w:spacing w:after="55"/>
        <w:ind w:left="709" w:hanging="283"/>
        <w:jc w:val="both"/>
        <w:rPr>
          <w:rFonts w:ascii="Verdana" w:eastAsia="Verdana" w:hAnsi="Verdana" w:cs="Verdana"/>
          <w:sz w:val="20"/>
          <w:szCs w:val="20"/>
        </w:rPr>
      </w:pPr>
      <w:r w:rsidRPr="00D71812">
        <w:rPr>
          <w:rFonts w:ascii="Verdana" w:eastAsia="Verdana" w:hAnsi="Verdana" w:cs="Verdana"/>
          <w:sz w:val="20"/>
          <w:szCs w:val="20"/>
        </w:rPr>
        <w:t>10. Capacity to complete the assignment within the specified timeframe</w:t>
      </w:r>
      <w:r>
        <w:rPr>
          <w:rFonts w:ascii="Verdana" w:eastAsia="Verdana" w:hAnsi="Verdana" w:cs="Verdana"/>
          <w:sz w:val="20"/>
          <w:szCs w:val="20"/>
        </w:rPr>
        <w:t xml:space="preserve"> and deliver the expected outputs both in Ukrainian and English languages</w:t>
      </w:r>
      <w:r w:rsidRPr="00D71812">
        <w:rPr>
          <w:rFonts w:ascii="Verdana" w:eastAsia="Verdana" w:hAnsi="Verdana" w:cs="Verdana"/>
          <w:sz w:val="20"/>
          <w:szCs w:val="20"/>
        </w:rPr>
        <w:t xml:space="preserve">. </w:t>
      </w:r>
    </w:p>
    <w:p w14:paraId="247D977F" w14:textId="77777777" w:rsidR="00B92750" w:rsidRPr="00D71812" w:rsidRDefault="00B92750" w:rsidP="00B92750">
      <w:pPr>
        <w:pStyle w:val="Default"/>
        <w:spacing w:after="55"/>
        <w:ind w:left="709" w:hanging="283"/>
        <w:jc w:val="both"/>
        <w:rPr>
          <w:rFonts w:ascii="Verdana" w:eastAsia="Verdana" w:hAnsi="Verdana" w:cs="Verdana"/>
          <w:sz w:val="20"/>
          <w:szCs w:val="20"/>
        </w:rPr>
      </w:pPr>
      <w:r>
        <w:rPr>
          <w:rFonts w:ascii="Verdana" w:eastAsia="Verdana" w:hAnsi="Verdana" w:cs="Verdana"/>
          <w:sz w:val="20"/>
          <w:szCs w:val="20"/>
        </w:rPr>
        <w:t xml:space="preserve">11. </w:t>
      </w:r>
      <w:r w:rsidRPr="00D71812">
        <w:rPr>
          <w:rFonts w:ascii="Verdana" w:eastAsia="Verdana" w:hAnsi="Verdana" w:cs="Verdana"/>
          <w:sz w:val="20"/>
          <w:szCs w:val="20"/>
        </w:rPr>
        <w:t>Compliance and Ethics:</w:t>
      </w:r>
    </w:p>
    <w:p w14:paraId="0129B99C" w14:textId="77777777" w:rsidR="00B92750" w:rsidRPr="00EC0C1A" w:rsidRDefault="00B92750" w:rsidP="00B92750">
      <w:pPr>
        <w:pStyle w:val="ListParagraph"/>
        <w:numPr>
          <w:ilvl w:val="0"/>
          <w:numId w:val="23"/>
        </w:numPr>
        <w:spacing w:after="120"/>
        <w:contextualSpacing w:val="0"/>
        <w:jc w:val="both"/>
        <w:rPr>
          <w:rFonts w:ascii="Verdana" w:eastAsia="Verdana" w:hAnsi="Verdana" w:cs="Verdana"/>
          <w:sz w:val="20"/>
          <w:szCs w:val="20"/>
          <w:lang w:val="en-GB"/>
        </w:rPr>
      </w:pPr>
      <w:r w:rsidRPr="006F1049">
        <w:rPr>
          <w:rFonts w:ascii="Verdana" w:eastAsia="Verdana" w:hAnsi="Verdana" w:cs="Verdana"/>
          <w:sz w:val="20"/>
          <w:szCs w:val="20"/>
          <w:lang w:val="en-GB"/>
        </w:rPr>
        <w:t>Adherence</w:t>
      </w:r>
      <w:r w:rsidRPr="00EC0C1A">
        <w:rPr>
          <w:rFonts w:ascii="Verdana" w:eastAsia="Verdana" w:hAnsi="Verdana" w:cs="Verdana"/>
          <w:sz w:val="20"/>
          <w:szCs w:val="20"/>
          <w:lang w:val="en-GB"/>
        </w:rPr>
        <w:t xml:space="preserve"> to ethical standards and legal requirements.</w:t>
      </w:r>
    </w:p>
    <w:p w14:paraId="38C23A50" w14:textId="77777777" w:rsidR="00B92750" w:rsidRDefault="00B92750" w:rsidP="00B92750">
      <w:pPr>
        <w:pStyle w:val="ListParagraph"/>
        <w:numPr>
          <w:ilvl w:val="0"/>
          <w:numId w:val="23"/>
        </w:numPr>
        <w:spacing w:after="120"/>
        <w:contextualSpacing w:val="0"/>
        <w:jc w:val="both"/>
        <w:rPr>
          <w:rFonts w:ascii="Verdana" w:eastAsia="Verdana" w:hAnsi="Verdana" w:cs="Verdana"/>
          <w:sz w:val="20"/>
          <w:szCs w:val="20"/>
          <w:lang w:val="en-GB"/>
        </w:rPr>
      </w:pPr>
      <w:r w:rsidRPr="00EC0C1A">
        <w:rPr>
          <w:rFonts w:ascii="Verdana" w:eastAsia="Verdana" w:hAnsi="Verdana" w:cs="Verdana"/>
          <w:sz w:val="20"/>
          <w:szCs w:val="20"/>
          <w:lang w:val="en-GB"/>
        </w:rPr>
        <w:lastRenderedPageBreak/>
        <w:t>Commitment to confidentiality and data security.</w:t>
      </w:r>
    </w:p>
    <w:p w14:paraId="0E43E216" w14:textId="77777777" w:rsidR="00B92750" w:rsidRPr="00D71812" w:rsidRDefault="00B92750" w:rsidP="00B92750">
      <w:pPr>
        <w:tabs>
          <w:tab w:val="left" w:pos="851"/>
        </w:tabs>
        <w:spacing w:line="240" w:lineRule="auto"/>
        <w:jc w:val="both"/>
        <w:rPr>
          <w:rFonts w:ascii="Verdana" w:eastAsia="Verdana" w:hAnsi="Verdana" w:cs="Verdana"/>
          <w:i/>
          <w:iCs/>
          <w:sz w:val="20"/>
          <w:szCs w:val="20"/>
          <w:lang w:val="en-GB"/>
        </w:rPr>
      </w:pPr>
      <w:r w:rsidRPr="00D71812">
        <w:rPr>
          <w:rFonts w:ascii="Verdana" w:eastAsia="Verdana" w:hAnsi="Verdana" w:cs="Verdana"/>
          <w:i/>
          <w:iCs/>
          <w:sz w:val="20"/>
          <w:szCs w:val="20"/>
          <w:lang w:val="en-GB"/>
        </w:rPr>
        <w:t xml:space="preserve">Additional </w:t>
      </w:r>
      <w:r>
        <w:rPr>
          <w:rFonts w:ascii="Verdana" w:eastAsia="Verdana" w:hAnsi="Verdana" w:cs="Verdana"/>
          <w:i/>
          <w:iCs/>
          <w:sz w:val="20"/>
          <w:szCs w:val="20"/>
          <w:lang w:val="en-GB"/>
        </w:rPr>
        <w:t>a</w:t>
      </w:r>
      <w:r w:rsidRPr="00D71812">
        <w:rPr>
          <w:rFonts w:ascii="Verdana" w:eastAsia="Verdana" w:hAnsi="Verdana" w:cs="Verdana"/>
          <w:i/>
          <w:iCs/>
          <w:sz w:val="20"/>
          <w:szCs w:val="20"/>
          <w:lang w:val="en-GB"/>
        </w:rPr>
        <w:t>ssets</w:t>
      </w:r>
    </w:p>
    <w:p w14:paraId="5D452ED2" w14:textId="77777777" w:rsidR="00B92750" w:rsidRDefault="00B92750" w:rsidP="00B92750">
      <w:pPr>
        <w:tabs>
          <w:tab w:val="left" w:pos="851"/>
        </w:tabs>
        <w:spacing w:line="240" w:lineRule="auto"/>
        <w:jc w:val="both"/>
        <w:rPr>
          <w:rFonts w:ascii="Verdana" w:eastAsia="Verdana" w:hAnsi="Verdana" w:cs="Verdana"/>
          <w:sz w:val="20"/>
          <w:szCs w:val="20"/>
          <w:lang w:val="en-GB"/>
        </w:rPr>
      </w:pPr>
    </w:p>
    <w:p w14:paraId="42221D68" w14:textId="77777777" w:rsidR="00B92750" w:rsidRPr="00D71812" w:rsidRDefault="00B92750" w:rsidP="00B92750">
      <w:pPr>
        <w:tabs>
          <w:tab w:val="left" w:pos="851"/>
        </w:tabs>
        <w:spacing w:line="240" w:lineRule="auto"/>
        <w:jc w:val="both"/>
        <w:rPr>
          <w:rFonts w:ascii="Verdana" w:eastAsia="Verdana" w:hAnsi="Verdana" w:cs="Verdana"/>
          <w:sz w:val="20"/>
          <w:szCs w:val="20"/>
          <w:lang w:val="en-GB"/>
        </w:rPr>
      </w:pPr>
      <w:r w:rsidRPr="00D71812">
        <w:rPr>
          <w:rFonts w:ascii="Verdana" w:eastAsia="Verdana" w:hAnsi="Verdana" w:cs="Verdana"/>
          <w:sz w:val="20"/>
          <w:szCs w:val="20"/>
          <w:lang w:val="en-GB"/>
        </w:rPr>
        <w:t>The following will be considered an advantage:</w:t>
      </w:r>
    </w:p>
    <w:p w14:paraId="31CF06EF" w14:textId="77777777" w:rsidR="00B92750" w:rsidRPr="00D71812" w:rsidRDefault="00B92750" w:rsidP="00B92750">
      <w:pPr>
        <w:pStyle w:val="ListParagraph"/>
        <w:numPr>
          <w:ilvl w:val="0"/>
          <w:numId w:val="22"/>
        </w:numPr>
        <w:tabs>
          <w:tab w:val="left" w:pos="851"/>
        </w:tabs>
        <w:spacing w:after="0" w:line="240" w:lineRule="auto"/>
        <w:ind w:left="426" w:hanging="142"/>
        <w:jc w:val="both"/>
        <w:rPr>
          <w:rFonts w:ascii="Verdana" w:eastAsia="Verdana" w:hAnsi="Verdana" w:cs="Verdana"/>
          <w:sz w:val="20"/>
          <w:szCs w:val="20"/>
          <w:lang w:val="en-GB"/>
        </w:rPr>
      </w:pPr>
      <w:r w:rsidRPr="00D71812">
        <w:rPr>
          <w:rFonts w:ascii="Verdana" w:eastAsia="Verdana" w:hAnsi="Verdana" w:cs="Verdana"/>
          <w:sz w:val="20"/>
          <w:szCs w:val="20"/>
          <w:lang w:val="en-GB"/>
        </w:rPr>
        <w:t xml:space="preserve">Experience with NATO-related projects, interoperability requirements, or defence governance reforms; </w:t>
      </w:r>
    </w:p>
    <w:p w14:paraId="6E49C4BB" w14:textId="77777777" w:rsidR="00B92750" w:rsidRPr="00B92750" w:rsidRDefault="00B92750" w:rsidP="00B92750">
      <w:pPr>
        <w:pStyle w:val="ListParagraph"/>
        <w:numPr>
          <w:ilvl w:val="0"/>
          <w:numId w:val="22"/>
        </w:numPr>
        <w:tabs>
          <w:tab w:val="left" w:pos="851"/>
        </w:tabs>
        <w:spacing w:after="0" w:line="240" w:lineRule="auto"/>
        <w:ind w:left="426" w:hanging="142"/>
        <w:jc w:val="both"/>
        <w:rPr>
          <w:rFonts w:ascii="Verdana" w:eastAsia="Verdana" w:hAnsi="Verdana" w:cs="Verdana"/>
          <w:sz w:val="20"/>
          <w:szCs w:val="20"/>
          <w:lang w:val="en-GB"/>
        </w:rPr>
      </w:pPr>
      <w:r w:rsidRPr="00904121">
        <w:rPr>
          <w:rFonts w:ascii="Verdana" w:eastAsia="Verdana" w:hAnsi="Verdana" w:cs="Verdana"/>
          <w:sz w:val="20"/>
          <w:szCs w:val="20"/>
          <w:lang w:val="en-GB"/>
        </w:rPr>
        <w:t>Academic or professional background in defence policy, defence procurement, capability development, or related fields</w:t>
      </w:r>
      <w:r>
        <w:rPr>
          <w:rFonts w:ascii="Verdana" w:eastAsia="Verdana" w:hAnsi="Verdana" w:cs="Verdana"/>
          <w:sz w:val="20"/>
          <w:szCs w:val="20"/>
          <w:lang w:val="en-GB"/>
        </w:rPr>
        <w:t>.</w:t>
      </w:r>
    </w:p>
    <w:bookmarkEnd w:id="5"/>
    <w:p w14:paraId="1F0D25D5" w14:textId="77777777" w:rsidR="00B92750" w:rsidRDefault="00B92750" w:rsidP="00B92750">
      <w:pPr>
        <w:pStyle w:val="Default"/>
        <w:spacing w:after="55"/>
        <w:ind w:left="709" w:hanging="283"/>
        <w:jc w:val="both"/>
        <w:rPr>
          <w:rFonts w:ascii="Verdana" w:eastAsia="Verdana" w:hAnsi="Verdana" w:cs="Verdana"/>
          <w:sz w:val="20"/>
          <w:szCs w:val="20"/>
        </w:rPr>
      </w:pPr>
    </w:p>
    <w:p w14:paraId="0509952C" w14:textId="5970DE15" w:rsidR="00C2315C" w:rsidRPr="00FC79B1" w:rsidRDefault="00C2315C" w:rsidP="00C2315C">
      <w:pPr>
        <w:shd w:val="clear" w:color="auto" w:fill="FFFFFF"/>
        <w:spacing w:before="120" w:after="120"/>
        <w:jc w:val="both"/>
        <w:rPr>
          <w:rFonts w:ascii="Verdana" w:eastAsia="Verdana" w:hAnsi="Verdana" w:cs="Verdana"/>
          <w:b/>
          <w:bCs/>
          <w:sz w:val="20"/>
          <w:szCs w:val="20"/>
          <w:u w:val="single"/>
          <w:lang w:val="en-GB"/>
        </w:rPr>
      </w:pPr>
      <w:bookmarkStart w:id="7" w:name="_Hlk229482068"/>
      <w:bookmarkEnd w:id="4"/>
      <w:bookmarkEnd w:id="6"/>
      <w:r w:rsidRPr="00FC79B1">
        <w:rPr>
          <w:rFonts w:ascii="Verdana" w:eastAsia="Verdana" w:hAnsi="Verdana" w:cs="Verdana"/>
          <w:b/>
          <w:bCs/>
          <w:sz w:val="20"/>
          <w:szCs w:val="20"/>
          <w:u w:val="single"/>
          <w:lang w:val="en-GB"/>
        </w:rPr>
        <w:t xml:space="preserve">Budget, </w:t>
      </w:r>
      <w:r w:rsidR="00FC79B1" w:rsidRPr="00FC79B1">
        <w:rPr>
          <w:rFonts w:ascii="Verdana" w:eastAsia="Verdana" w:hAnsi="Verdana" w:cs="Verdana"/>
          <w:b/>
          <w:bCs/>
          <w:sz w:val="20"/>
          <w:szCs w:val="20"/>
          <w:u w:val="single"/>
          <w:lang w:val="en-GB"/>
        </w:rPr>
        <w:t xml:space="preserve">payment and </w:t>
      </w:r>
      <w:r w:rsidRPr="00FC79B1">
        <w:rPr>
          <w:rFonts w:ascii="Verdana" w:eastAsia="Verdana" w:hAnsi="Verdana" w:cs="Verdana"/>
          <w:b/>
          <w:bCs/>
          <w:sz w:val="20"/>
          <w:szCs w:val="20"/>
          <w:u w:val="single"/>
          <w:lang w:val="en-GB"/>
        </w:rPr>
        <w:t>timeframe</w:t>
      </w:r>
    </w:p>
    <w:bookmarkEnd w:id="7"/>
    <w:p w14:paraId="5BAC7440" w14:textId="53611377" w:rsidR="00C2315C" w:rsidRPr="00B91AA7" w:rsidRDefault="00C2315C" w:rsidP="007703AD">
      <w:pPr>
        <w:widowControl w:val="0"/>
        <w:spacing w:line="240" w:lineRule="auto"/>
        <w:jc w:val="both"/>
        <w:rPr>
          <w:rFonts w:ascii="Verdana" w:eastAsia="Verdana" w:hAnsi="Verdana" w:cs="Verdana"/>
          <w:b/>
          <w:bCs/>
          <w:sz w:val="20"/>
          <w:szCs w:val="20"/>
          <w:lang w:val="en-GB"/>
        </w:rPr>
      </w:pPr>
      <w:r w:rsidRPr="00B91AA7">
        <w:rPr>
          <w:rFonts w:ascii="Verdana" w:eastAsia="Verdana" w:hAnsi="Verdana" w:cs="Verdana"/>
          <w:sz w:val="20"/>
          <w:szCs w:val="20"/>
          <w:lang w:val="en-GB"/>
        </w:rPr>
        <w:t>The maximum budget available for this assignment is</w:t>
      </w:r>
      <w:r w:rsidRPr="00B91AA7">
        <w:rPr>
          <w:rFonts w:ascii="Verdana" w:eastAsia="Verdana" w:hAnsi="Verdana" w:cs="Verdana"/>
          <w:b/>
          <w:bCs/>
          <w:sz w:val="20"/>
          <w:szCs w:val="20"/>
          <w:lang w:val="en-GB"/>
        </w:rPr>
        <w:t xml:space="preserve"> </w:t>
      </w:r>
      <w:r w:rsidR="007703AD" w:rsidRPr="00B91AA7">
        <w:rPr>
          <w:rFonts w:ascii="Verdana" w:eastAsia="Verdana" w:hAnsi="Verdana" w:cs="Verdana"/>
          <w:b/>
          <w:bCs/>
          <w:sz w:val="20"/>
          <w:szCs w:val="20"/>
          <w:lang w:val="en-GB"/>
        </w:rPr>
        <w:t xml:space="preserve">up to </w:t>
      </w:r>
      <w:r w:rsidRPr="00B91AA7">
        <w:rPr>
          <w:rFonts w:ascii="Verdana" w:eastAsia="Verdana" w:hAnsi="Verdana" w:cs="Verdana"/>
          <w:b/>
          <w:bCs/>
          <w:sz w:val="20"/>
          <w:szCs w:val="20"/>
          <w:lang w:val="en-GB"/>
        </w:rPr>
        <w:t xml:space="preserve">EUR </w:t>
      </w:r>
      <w:r w:rsidR="00B91AA7" w:rsidRPr="00B91AA7">
        <w:rPr>
          <w:rFonts w:ascii="Verdana" w:eastAsia="Verdana" w:hAnsi="Verdana" w:cs="Verdana"/>
          <w:b/>
          <w:bCs/>
          <w:sz w:val="20"/>
          <w:szCs w:val="20"/>
          <w:lang w:val="en-GB"/>
        </w:rPr>
        <w:t>23</w:t>
      </w:r>
      <w:r w:rsidR="00442917" w:rsidRPr="00B91AA7">
        <w:rPr>
          <w:rFonts w:ascii="Verdana" w:eastAsia="Verdana" w:hAnsi="Verdana" w:cs="Verdana"/>
          <w:b/>
          <w:bCs/>
          <w:sz w:val="20"/>
          <w:szCs w:val="20"/>
          <w:lang w:val="en-GB"/>
        </w:rPr>
        <w:t xml:space="preserve"> 000</w:t>
      </w:r>
      <w:r w:rsidR="007703AD" w:rsidRPr="00B91AA7">
        <w:rPr>
          <w:rFonts w:ascii="Verdana" w:eastAsia="Verdana" w:hAnsi="Verdana" w:cs="Verdana"/>
          <w:b/>
          <w:bCs/>
          <w:sz w:val="20"/>
          <w:szCs w:val="20"/>
          <w:lang w:val="en-GB"/>
        </w:rPr>
        <w:t>.</w:t>
      </w:r>
      <w:r w:rsidR="007703AD" w:rsidRPr="00B91AA7">
        <w:rPr>
          <w:rFonts w:ascii="Verdana" w:eastAsia="Verdana" w:hAnsi="Verdana" w:cs="Verdana"/>
          <w:sz w:val="20"/>
          <w:szCs w:val="20"/>
          <w:lang w:val="en-GB"/>
        </w:rPr>
        <w:t xml:space="preserve"> </w:t>
      </w:r>
      <w:r w:rsidRPr="00B91AA7">
        <w:rPr>
          <w:rFonts w:ascii="Verdana" w:eastAsia="Verdana" w:hAnsi="Verdana" w:cs="Verdana"/>
          <w:sz w:val="20"/>
          <w:szCs w:val="20"/>
          <w:lang w:val="en-GB"/>
        </w:rPr>
        <w:t xml:space="preserve">The </w:t>
      </w:r>
      <w:r w:rsidR="00B91AA7" w:rsidRPr="00B91AA7">
        <w:rPr>
          <w:rFonts w:ascii="Verdana" w:eastAsia="Verdana" w:hAnsi="Verdana" w:cs="Verdana"/>
          <w:sz w:val="20"/>
          <w:szCs w:val="20"/>
          <w:lang w:val="en-GB"/>
        </w:rPr>
        <w:t>Expert</w:t>
      </w:r>
      <w:r w:rsidRPr="00B91AA7">
        <w:rPr>
          <w:rFonts w:ascii="Verdana" w:eastAsia="Verdana" w:hAnsi="Verdana" w:cs="Verdana"/>
          <w:sz w:val="20"/>
          <w:szCs w:val="20"/>
          <w:lang w:val="en-GB"/>
        </w:rPr>
        <w:t xml:space="preserve"> will be contracted as a </w:t>
      </w:r>
      <w:r w:rsidR="00B91AA7" w:rsidRPr="00B91AA7">
        <w:rPr>
          <w:rFonts w:ascii="Verdana" w:eastAsia="Verdana" w:hAnsi="Verdana" w:cs="Verdana"/>
          <w:sz w:val="20"/>
          <w:szCs w:val="20"/>
          <w:lang w:val="en-GB"/>
        </w:rPr>
        <w:t>legal entity</w:t>
      </w:r>
      <w:r w:rsidR="00571413">
        <w:rPr>
          <w:rFonts w:ascii="Verdana" w:eastAsia="Verdana" w:hAnsi="Verdana" w:cs="Verdana"/>
          <w:sz w:val="20"/>
          <w:szCs w:val="20"/>
          <w:lang w:val="en-GB"/>
        </w:rPr>
        <w:t xml:space="preserve">, </w:t>
      </w:r>
      <w:r w:rsidR="00B91AA7" w:rsidRPr="00B91AA7">
        <w:rPr>
          <w:rFonts w:ascii="Verdana" w:eastAsia="Verdana" w:hAnsi="Verdana" w:cs="Verdana"/>
          <w:sz w:val="20"/>
          <w:szCs w:val="20"/>
          <w:lang w:eastAsia="da-DK"/>
        </w:rPr>
        <w:t>a private entrepreneur, or a private individual (in the case of non-residents of Ukraine)</w:t>
      </w:r>
      <w:r w:rsidR="00B91AA7" w:rsidRPr="00B91AA7">
        <w:rPr>
          <w:rFonts w:ascii="Verdana" w:eastAsia="Verdana" w:hAnsi="Verdana" w:cs="Verdana"/>
          <w:sz w:val="20"/>
          <w:szCs w:val="20"/>
          <w:lang w:val="en-GB"/>
        </w:rPr>
        <w:t xml:space="preserve"> </w:t>
      </w:r>
      <w:r w:rsidRPr="00B91AA7">
        <w:rPr>
          <w:rFonts w:ascii="Verdana" w:eastAsia="Verdana" w:hAnsi="Verdana" w:cs="Verdana"/>
          <w:sz w:val="20"/>
          <w:szCs w:val="20"/>
          <w:lang w:val="en-GB"/>
        </w:rPr>
        <w:t xml:space="preserve">and will be responsible for paying his/her own taxes. </w:t>
      </w:r>
    </w:p>
    <w:p w14:paraId="680C93F7" w14:textId="00FA9685" w:rsidR="007703AD" w:rsidRDefault="007703AD" w:rsidP="007703AD">
      <w:pPr>
        <w:widowControl w:val="0"/>
        <w:spacing w:line="240" w:lineRule="auto"/>
        <w:jc w:val="both"/>
        <w:rPr>
          <w:rFonts w:ascii="Verdana" w:eastAsia="Verdana" w:hAnsi="Verdana" w:cs="Verdana"/>
          <w:sz w:val="20"/>
          <w:szCs w:val="20"/>
          <w:highlight w:val="yellow"/>
          <w:lang w:val="en-GB"/>
        </w:rPr>
      </w:pPr>
    </w:p>
    <w:p w14:paraId="286D2018" w14:textId="324398AA" w:rsidR="004301FE" w:rsidRDefault="004301FE" w:rsidP="007703AD">
      <w:pPr>
        <w:widowControl w:val="0"/>
        <w:spacing w:line="240" w:lineRule="auto"/>
        <w:jc w:val="both"/>
        <w:rPr>
          <w:rFonts w:ascii="Verdana" w:eastAsiaTheme="minorHAnsi" w:hAnsi="Verdana" w:cs="Calibri"/>
          <w:sz w:val="20"/>
          <w:szCs w:val="20"/>
        </w:rPr>
      </w:pPr>
      <w:r>
        <w:rPr>
          <w:rFonts w:ascii="Verdana" w:eastAsiaTheme="minorHAnsi" w:hAnsi="Verdana" w:cs="Calibri"/>
          <w:sz w:val="20"/>
          <w:szCs w:val="20"/>
        </w:rPr>
        <w:t>Expenses for a</w:t>
      </w:r>
      <w:r w:rsidRPr="00B1092A">
        <w:rPr>
          <w:rFonts w:ascii="Verdana" w:eastAsiaTheme="minorHAnsi" w:hAnsi="Verdana" w:cs="Calibri"/>
          <w:sz w:val="20"/>
          <w:szCs w:val="20"/>
        </w:rPr>
        <w:t>dministrative, organizational, and logistical arrangements for the workshop</w:t>
      </w:r>
      <w:r>
        <w:rPr>
          <w:rFonts w:ascii="Verdana" w:eastAsiaTheme="minorHAnsi" w:hAnsi="Verdana" w:cs="Calibri"/>
          <w:sz w:val="20"/>
          <w:szCs w:val="20"/>
        </w:rPr>
        <w:t>s</w:t>
      </w:r>
      <w:r w:rsidRPr="00B1092A">
        <w:rPr>
          <w:rFonts w:ascii="Verdana" w:eastAsiaTheme="minorHAnsi" w:hAnsi="Verdana" w:cs="Calibri"/>
          <w:sz w:val="20"/>
          <w:szCs w:val="20"/>
        </w:rPr>
        <w:t xml:space="preserve"> </w:t>
      </w:r>
      <w:r>
        <w:rPr>
          <w:rFonts w:ascii="Verdana" w:eastAsiaTheme="minorHAnsi" w:hAnsi="Verdana" w:cs="Calibri"/>
          <w:sz w:val="20"/>
          <w:szCs w:val="20"/>
        </w:rPr>
        <w:t>are not part of the budget and will be covered by the EUACI separately.</w:t>
      </w:r>
    </w:p>
    <w:p w14:paraId="78456A99" w14:textId="77777777" w:rsidR="004301FE" w:rsidRPr="00921631" w:rsidRDefault="004301FE" w:rsidP="007703AD">
      <w:pPr>
        <w:widowControl w:val="0"/>
        <w:spacing w:line="240" w:lineRule="auto"/>
        <w:jc w:val="both"/>
        <w:rPr>
          <w:rFonts w:ascii="Verdana" w:eastAsia="Verdana" w:hAnsi="Verdana" w:cs="Verdana"/>
          <w:sz w:val="20"/>
          <w:szCs w:val="20"/>
          <w:highlight w:val="yellow"/>
          <w:lang w:val="en-GB"/>
        </w:rPr>
      </w:pPr>
    </w:p>
    <w:p w14:paraId="4C891C72" w14:textId="77777777" w:rsidR="00FC79B1" w:rsidRPr="00EB0E53" w:rsidRDefault="00FC79B1" w:rsidP="00FC79B1">
      <w:pPr>
        <w:spacing w:after="120"/>
        <w:jc w:val="both"/>
        <w:rPr>
          <w:rFonts w:ascii="Verdana" w:eastAsia="Times New Roman" w:hAnsi="Verdana"/>
          <w:sz w:val="20"/>
          <w:szCs w:val="20"/>
        </w:rPr>
      </w:pPr>
      <w:r w:rsidRPr="00EB0E53">
        <w:rPr>
          <w:rFonts w:ascii="Verdana" w:eastAsia="Verdana" w:hAnsi="Verdana" w:cs="Verdana"/>
          <w:sz w:val="20"/>
          <w:szCs w:val="20"/>
        </w:rPr>
        <w:t>Note that the EUACI</w:t>
      </w:r>
      <w:r w:rsidRPr="00EB0E53">
        <w:rPr>
          <w:rFonts w:ascii="Verdana" w:eastAsia="Verdana" w:hAnsi="Verdana" w:cs="Verdana"/>
          <w:b/>
          <w:bCs/>
          <w:sz w:val="20"/>
          <w:szCs w:val="20"/>
        </w:rPr>
        <w:t xml:space="preserve"> </w:t>
      </w:r>
      <w:r w:rsidRPr="00EB0E53">
        <w:rPr>
          <w:rFonts w:ascii="Verdana" w:eastAsia="Verdana" w:hAnsi="Verdana" w:cs="Verdana"/>
          <w:sz w:val="20"/>
          <w:szCs w:val="20"/>
        </w:rPr>
        <w:t>as an international technical assistance program</w:t>
      </w:r>
      <w:r w:rsidRPr="00EB0E53">
        <w:rPr>
          <w:rFonts w:ascii="Verdana" w:eastAsia="Verdana" w:hAnsi="Verdana" w:cs="Verdana"/>
          <w:b/>
          <w:bCs/>
          <w:sz w:val="20"/>
          <w:szCs w:val="20"/>
        </w:rPr>
        <w:t xml:space="preserve"> is not a VAT payer</w:t>
      </w:r>
      <w:r w:rsidRPr="00EB0E53">
        <w:rPr>
          <w:rFonts w:ascii="Verdana" w:eastAsia="Verdana" w:hAnsi="Verdana" w:cs="Verdana"/>
          <w:sz w:val="20"/>
          <w:szCs w:val="20"/>
        </w:rPr>
        <w:t xml:space="preserve"> </w:t>
      </w:r>
      <w:r w:rsidRPr="00EB0E53">
        <w:rPr>
          <w:rFonts w:ascii="Verdana" w:eastAsia="Times New Roman" w:hAnsi="Verdana"/>
          <w:sz w:val="20"/>
          <w:szCs w:val="20"/>
        </w:rPr>
        <w:t xml:space="preserve">and will provide all the necessary documents required. </w:t>
      </w:r>
    </w:p>
    <w:p w14:paraId="74949AFC" w14:textId="7FEDEC7A" w:rsidR="00FC79B1" w:rsidRPr="00EB0E53" w:rsidRDefault="00FC79B1" w:rsidP="00FC79B1">
      <w:pPr>
        <w:spacing w:after="120"/>
        <w:jc w:val="both"/>
        <w:rPr>
          <w:rFonts w:ascii="Verdana" w:eastAsia="Verdana" w:hAnsi="Verdana" w:cs="Verdana"/>
          <w:sz w:val="20"/>
          <w:szCs w:val="20"/>
        </w:rPr>
      </w:pPr>
      <w:r w:rsidRPr="00EB0E53">
        <w:rPr>
          <w:rFonts w:ascii="Verdana" w:eastAsia="Verdana" w:hAnsi="Verdana" w:cs="Verdana"/>
          <w:sz w:val="20"/>
          <w:szCs w:val="20"/>
        </w:rPr>
        <w:t xml:space="preserve">Payment will be made in a maximum of two instalments. </w:t>
      </w:r>
    </w:p>
    <w:p w14:paraId="5DC6AE07" w14:textId="77777777" w:rsidR="00571413" w:rsidRPr="00571413" w:rsidRDefault="00571413" w:rsidP="00FC79B1">
      <w:pPr>
        <w:spacing w:after="120"/>
        <w:jc w:val="both"/>
        <w:rPr>
          <w:rFonts w:ascii="Verdana" w:eastAsia="Verdana" w:hAnsi="Verdana" w:cs="Verdana"/>
          <w:sz w:val="20"/>
          <w:szCs w:val="20"/>
        </w:rPr>
      </w:pPr>
      <w:r w:rsidRPr="00571413">
        <w:rPr>
          <w:rFonts w:ascii="Verdana" w:eastAsia="Verdana" w:hAnsi="Verdana" w:cs="Verdana"/>
          <w:sz w:val="20"/>
          <w:szCs w:val="20"/>
        </w:rPr>
        <w:t>The first instalment, representing a maximum of 30% of the total contract value, will be paid after the signing of the contract upon submission of the corresponding invoice (in English) by the Expert.</w:t>
      </w:r>
    </w:p>
    <w:p w14:paraId="28CBE56E" w14:textId="2F72C614" w:rsidR="00FC79B1" w:rsidRDefault="00FC79B1" w:rsidP="00FC79B1">
      <w:pPr>
        <w:spacing w:after="120"/>
        <w:jc w:val="both"/>
        <w:rPr>
          <w:rFonts w:ascii="Verdana" w:eastAsia="Verdana" w:hAnsi="Verdana" w:cs="Verdana"/>
          <w:sz w:val="20"/>
          <w:szCs w:val="20"/>
        </w:rPr>
      </w:pPr>
      <w:r w:rsidRPr="00EB0E53">
        <w:rPr>
          <w:rFonts w:ascii="Verdana" w:eastAsia="Verdana" w:hAnsi="Verdana" w:cs="Verdana"/>
          <w:sz w:val="20"/>
          <w:szCs w:val="20"/>
        </w:rPr>
        <w:t>The second and final payment will be made upon receipt and approval of the Final Report and a Final Invoice</w:t>
      </w:r>
      <w:r w:rsidR="00571413">
        <w:rPr>
          <w:rFonts w:ascii="Verdana" w:eastAsia="Verdana" w:hAnsi="Verdana" w:cs="Verdana"/>
          <w:sz w:val="20"/>
          <w:szCs w:val="20"/>
        </w:rPr>
        <w:t xml:space="preserve"> (in English)</w:t>
      </w:r>
      <w:r w:rsidRPr="00EB0E53">
        <w:rPr>
          <w:rFonts w:ascii="Verdana" w:eastAsia="Verdana" w:hAnsi="Verdana" w:cs="Verdana"/>
          <w:sz w:val="20"/>
          <w:szCs w:val="20"/>
        </w:rPr>
        <w:t xml:space="preserve">. </w:t>
      </w:r>
    </w:p>
    <w:p w14:paraId="590C4EE3" w14:textId="6125CB60" w:rsidR="007B69A2" w:rsidRPr="00571413" w:rsidRDefault="00FC79B1" w:rsidP="00571413">
      <w:pPr>
        <w:spacing w:after="120"/>
        <w:jc w:val="both"/>
        <w:rPr>
          <w:rFonts w:ascii="Verdana" w:eastAsia="Verdana" w:hAnsi="Verdana" w:cs="Verdana"/>
          <w:sz w:val="20"/>
          <w:szCs w:val="20"/>
        </w:rPr>
      </w:pPr>
      <w:r w:rsidRPr="00EB0E53">
        <w:rPr>
          <w:rFonts w:ascii="Verdana" w:eastAsia="Verdana" w:hAnsi="Verdana" w:cs="Verdana"/>
          <w:sz w:val="20"/>
          <w:szCs w:val="20"/>
        </w:rPr>
        <w:t xml:space="preserve">The payment will be </w:t>
      </w:r>
      <w:r>
        <w:rPr>
          <w:rFonts w:ascii="Verdana" w:eastAsia="Verdana" w:hAnsi="Verdana" w:cs="Verdana"/>
          <w:sz w:val="20"/>
          <w:szCs w:val="20"/>
        </w:rPr>
        <w:t>made</w:t>
      </w:r>
      <w:r w:rsidRPr="00EB0E53">
        <w:rPr>
          <w:rFonts w:ascii="Verdana" w:eastAsia="Verdana" w:hAnsi="Verdana" w:cs="Verdana"/>
          <w:sz w:val="20"/>
          <w:szCs w:val="20"/>
        </w:rPr>
        <w:t xml:space="preserve"> in UAH according to the official NBU exchange rate.</w:t>
      </w:r>
    </w:p>
    <w:p w14:paraId="04499BFD" w14:textId="48410A01" w:rsidR="007B69A2" w:rsidRDefault="007B69A2" w:rsidP="007B69A2">
      <w:pPr>
        <w:spacing w:line="240" w:lineRule="auto"/>
        <w:jc w:val="both"/>
        <w:rPr>
          <w:rFonts w:ascii="Verdana" w:eastAsia="Times New Roman" w:hAnsi="Verdana" w:cs="Times New Roman"/>
          <w:color w:val="000000"/>
          <w:sz w:val="20"/>
          <w:szCs w:val="20"/>
          <w:lang w:val="en-GB"/>
        </w:rPr>
      </w:pPr>
      <w:r w:rsidRPr="00571413">
        <w:rPr>
          <w:rFonts w:ascii="Verdana" w:eastAsia="Times New Roman" w:hAnsi="Verdana" w:cs="Times New Roman"/>
          <w:color w:val="000000"/>
          <w:sz w:val="20"/>
          <w:szCs w:val="20"/>
          <w:lang w:val="en-GB"/>
        </w:rPr>
        <w:t xml:space="preserve">The intended commencement date is the date of signature of the contract with the </w:t>
      </w:r>
      <w:r w:rsidR="00571413" w:rsidRPr="00571413">
        <w:rPr>
          <w:rFonts w:ascii="Verdana" w:eastAsia="Times New Roman" w:hAnsi="Verdana" w:cs="Times New Roman"/>
          <w:color w:val="000000"/>
          <w:sz w:val="20"/>
          <w:szCs w:val="20"/>
          <w:lang w:val="en-GB"/>
        </w:rPr>
        <w:t xml:space="preserve">Expert </w:t>
      </w:r>
      <w:r w:rsidRPr="00571413">
        <w:rPr>
          <w:rFonts w:ascii="Verdana" w:eastAsia="Times New Roman" w:hAnsi="Verdana" w:cs="Times New Roman"/>
          <w:color w:val="000000"/>
          <w:sz w:val="20"/>
          <w:szCs w:val="20"/>
          <w:lang w:val="en-GB"/>
        </w:rPr>
        <w:t xml:space="preserve">and the period of implementation of the contract will be </w:t>
      </w:r>
      <w:r w:rsidR="00571413" w:rsidRPr="00571413">
        <w:rPr>
          <w:rFonts w:ascii="Verdana" w:eastAsia="Times New Roman" w:hAnsi="Verdana" w:cs="Times New Roman"/>
          <w:b/>
          <w:bCs/>
          <w:color w:val="000000"/>
          <w:sz w:val="20"/>
          <w:szCs w:val="20"/>
          <w:lang w:val="en-GB"/>
        </w:rPr>
        <w:t>7</w:t>
      </w:r>
      <w:r w:rsidRPr="00571413">
        <w:rPr>
          <w:rFonts w:ascii="Verdana" w:eastAsia="Times New Roman" w:hAnsi="Verdana" w:cs="Times New Roman"/>
          <w:b/>
          <w:bCs/>
          <w:color w:val="000000"/>
          <w:sz w:val="20"/>
          <w:szCs w:val="20"/>
          <w:lang w:val="en-GB"/>
        </w:rPr>
        <w:t xml:space="preserve"> months</w:t>
      </w:r>
      <w:r w:rsidRPr="00571413">
        <w:rPr>
          <w:rFonts w:ascii="Verdana" w:eastAsia="Times New Roman" w:hAnsi="Verdana" w:cs="Times New Roman"/>
          <w:color w:val="000000"/>
          <w:sz w:val="20"/>
          <w:szCs w:val="20"/>
          <w:lang w:val="en-GB"/>
        </w:rPr>
        <w:t xml:space="preserve">, with a </w:t>
      </w:r>
      <w:r w:rsidR="00571413" w:rsidRPr="00571413">
        <w:rPr>
          <w:rFonts w:ascii="Verdana" w:eastAsia="Times New Roman" w:hAnsi="Verdana" w:cs="Times New Roman"/>
          <w:color w:val="000000"/>
          <w:sz w:val="20"/>
          <w:szCs w:val="20"/>
          <w:lang w:val="en-GB"/>
        </w:rPr>
        <w:t xml:space="preserve">tentative </w:t>
      </w:r>
      <w:r w:rsidRPr="00571413">
        <w:rPr>
          <w:rFonts w:ascii="Verdana" w:eastAsia="Times New Roman" w:hAnsi="Verdana" w:cs="Times New Roman"/>
          <w:color w:val="000000"/>
          <w:sz w:val="20"/>
          <w:szCs w:val="20"/>
          <w:lang w:val="en-GB"/>
        </w:rPr>
        <w:t xml:space="preserve">start in </w:t>
      </w:r>
      <w:r w:rsidR="00571413" w:rsidRPr="00571413">
        <w:rPr>
          <w:rFonts w:ascii="Verdana" w:eastAsia="Times New Roman" w:hAnsi="Verdana" w:cs="Times New Roman"/>
          <w:color w:val="000000"/>
          <w:sz w:val="20"/>
          <w:szCs w:val="20"/>
          <w:lang w:val="en-GB"/>
        </w:rPr>
        <w:t xml:space="preserve">June </w:t>
      </w:r>
      <w:r w:rsidRPr="00571413">
        <w:rPr>
          <w:rFonts w:ascii="Verdana" w:eastAsia="Times New Roman" w:hAnsi="Verdana" w:cs="Times New Roman"/>
          <w:color w:val="000000"/>
          <w:sz w:val="20"/>
          <w:szCs w:val="20"/>
          <w:lang w:val="en-GB"/>
        </w:rPr>
        <w:t>2026</w:t>
      </w:r>
      <w:r w:rsidR="00571413" w:rsidRPr="00571413">
        <w:rPr>
          <w:rFonts w:ascii="Verdana" w:eastAsia="Times New Roman" w:hAnsi="Verdana" w:cs="Times New Roman"/>
          <w:color w:val="000000"/>
          <w:sz w:val="20"/>
          <w:szCs w:val="20"/>
          <w:lang w:val="en-GB"/>
        </w:rPr>
        <w:t>.</w:t>
      </w:r>
    </w:p>
    <w:p w14:paraId="0229AA26" w14:textId="137128DB" w:rsidR="00571413" w:rsidRDefault="00571413" w:rsidP="007B69A2">
      <w:pPr>
        <w:spacing w:line="240" w:lineRule="auto"/>
        <w:jc w:val="both"/>
        <w:rPr>
          <w:rFonts w:ascii="Verdana" w:eastAsia="Times New Roman" w:hAnsi="Verdana" w:cs="Times New Roman"/>
          <w:color w:val="000000"/>
          <w:sz w:val="20"/>
          <w:szCs w:val="20"/>
          <w:lang w:val="en-GB"/>
        </w:rPr>
      </w:pPr>
    </w:p>
    <w:p w14:paraId="5D0B8353" w14:textId="5D488F0C" w:rsidR="00571413" w:rsidRPr="00571413" w:rsidRDefault="00571413" w:rsidP="00571413">
      <w:pPr>
        <w:spacing w:line="240" w:lineRule="auto"/>
        <w:jc w:val="both"/>
        <w:rPr>
          <w:rFonts w:ascii="Verdana" w:eastAsia="Times New Roman" w:hAnsi="Verdana" w:cs="Times New Roman"/>
          <w:color w:val="000000"/>
          <w:sz w:val="20"/>
          <w:szCs w:val="20"/>
          <w:lang w:val="en-GB"/>
        </w:rPr>
      </w:pPr>
      <w:r w:rsidRPr="00571413">
        <w:rPr>
          <w:rFonts w:ascii="Verdana" w:eastAsia="Times New Roman" w:hAnsi="Verdana" w:cs="Times New Roman"/>
          <w:color w:val="000000"/>
          <w:sz w:val="20"/>
          <w:szCs w:val="20"/>
          <w:lang w:val="en-GB"/>
        </w:rPr>
        <w:t>The assignment can be performed remotely.</w:t>
      </w:r>
    </w:p>
    <w:p w14:paraId="43A49EE5" w14:textId="77777777" w:rsidR="00571413" w:rsidRDefault="00571413" w:rsidP="00571413">
      <w:pPr>
        <w:spacing w:line="240" w:lineRule="auto"/>
        <w:jc w:val="both"/>
        <w:rPr>
          <w:rFonts w:ascii="Verdana" w:eastAsia="Times New Roman" w:hAnsi="Verdana" w:cs="Times New Roman"/>
          <w:color w:val="000000"/>
          <w:sz w:val="20"/>
          <w:szCs w:val="20"/>
          <w:lang w:val="en-GB"/>
        </w:rPr>
      </w:pPr>
    </w:p>
    <w:p w14:paraId="02FF185A" w14:textId="04982D38" w:rsidR="008B40A3" w:rsidRPr="00FB2912" w:rsidRDefault="008B40A3" w:rsidP="00571413">
      <w:pPr>
        <w:spacing w:line="240" w:lineRule="auto"/>
        <w:jc w:val="both"/>
        <w:rPr>
          <w:rFonts w:ascii="Times New Roman" w:eastAsia="Times New Roman" w:hAnsi="Times New Roman" w:cs="Times New Roman"/>
          <w:sz w:val="24"/>
          <w:szCs w:val="24"/>
          <w:lang w:val="en-GB"/>
        </w:rPr>
      </w:pPr>
      <w:r w:rsidRPr="00FB2912">
        <w:rPr>
          <w:rFonts w:ascii="Verdana" w:eastAsia="Verdana" w:hAnsi="Verdana" w:cs="Verdana"/>
          <w:b/>
          <w:bCs/>
          <w:sz w:val="20"/>
          <w:szCs w:val="20"/>
          <w:u w:val="single"/>
          <w:lang w:val="en-GB"/>
        </w:rPr>
        <w:t>How to apply</w:t>
      </w:r>
    </w:p>
    <w:p w14:paraId="0F55DD4F" w14:textId="29108CFC" w:rsidR="008B40A3" w:rsidRPr="00FB2912" w:rsidRDefault="008B40A3" w:rsidP="008B40A3">
      <w:pPr>
        <w:spacing w:before="120" w:after="120"/>
        <w:jc w:val="both"/>
        <w:rPr>
          <w:rFonts w:ascii="Verdana" w:eastAsia="Verdana" w:hAnsi="Verdana" w:cs="Verdana"/>
          <w:sz w:val="20"/>
          <w:szCs w:val="20"/>
          <w:lang w:val="en-GB"/>
        </w:rPr>
      </w:pPr>
      <w:r w:rsidRPr="00FB2912">
        <w:rPr>
          <w:rFonts w:ascii="Verdana" w:eastAsia="Verdana" w:hAnsi="Verdana" w:cs="Verdana"/>
          <w:sz w:val="20"/>
          <w:szCs w:val="20"/>
          <w:lang w:val="en-GB"/>
        </w:rPr>
        <w:t xml:space="preserve">The deadline for submitting the proposal is </w:t>
      </w:r>
      <w:r w:rsidR="008307CE">
        <w:rPr>
          <w:rFonts w:ascii="Verdana" w:eastAsia="Verdana" w:hAnsi="Verdana" w:cs="Verdana"/>
          <w:b/>
          <w:bCs/>
          <w:sz w:val="20"/>
          <w:szCs w:val="20"/>
          <w:lang w:val="en-GB"/>
        </w:rPr>
        <w:t>17</w:t>
      </w:r>
      <w:r w:rsidR="008307CE" w:rsidRPr="00FB2912">
        <w:rPr>
          <w:rFonts w:ascii="Verdana" w:eastAsia="Verdana" w:hAnsi="Verdana" w:cs="Verdana"/>
          <w:b/>
          <w:bCs/>
          <w:sz w:val="20"/>
          <w:szCs w:val="20"/>
          <w:lang w:val="en-GB"/>
        </w:rPr>
        <w:t xml:space="preserve"> </w:t>
      </w:r>
      <w:r w:rsidR="000341DB">
        <w:rPr>
          <w:rFonts w:ascii="Verdana" w:eastAsia="Verdana" w:hAnsi="Verdana" w:cs="Verdana"/>
          <w:b/>
          <w:bCs/>
          <w:sz w:val="20"/>
          <w:szCs w:val="20"/>
          <w:lang w:val="en-GB"/>
        </w:rPr>
        <w:t>June</w:t>
      </w:r>
      <w:r w:rsidR="000341DB" w:rsidRPr="00FB2912">
        <w:rPr>
          <w:rFonts w:ascii="Verdana" w:eastAsia="Verdana" w:hAnsi="Verdana" w:cs="Verdana"/>
          <w:b/>
          <w:bCs/>
          <w:sz w:val="20"/>
          <w:szCs w:val="20"/>
          <w:lang w:val="en-GB"/>
        </w:rPr>
        <w:t xml:space="preserve"> </w:t>
      </w:r>
      <w:r w:rsidRPr="00FB2912">
        <w:rPr>
          <w:rFonts w:ascii="Verdana" w:eastAsia="Verdana" w:hAnsi="Verdana" w:cs="Verdana"/>
          <w:b/>
          <w:bCs/>
          <w:sz w:val="20"/>
          <w:szCs w:val="20"/>
          <w:lang w:val="en-GB"/>
        </w:rPr>
        <w:t>202</w:t>
      </w:r>
      <w:r w:rsidR="00E426F1" w:rsidRPr="00FB2912">
        <w:rPr>
          <w:rFonts w:ascii="Verdana" w:eastAsia="Verdana" w:hAnsi="Verdana" w:cs="Verdana"/>
          <w:b/>
          <w:bCs/>
          <w:sz w:val="20"/>
          <w:szCs w:val="20"/>
          <w:lang w:val="en-GB"/>
        </w:rPr>
        <w:t>6</w:t>
      </w:r>
      <w:r w:rsidRPr="00FB2912">
        <w:rPr>
          <w:rFonts w:ascii="Verdana" w:eastAsia="Verdana" w:hAnsi="Verdana" w:cs="Verdana"/>
          <w:b/>
          <w:bCs/>
          <w:sz w:val="20"/>
          <w:szCs w:val="20"/>
          <w:lang w:val="en-GB"/>
        </w:rPr>
        <w:t>, 18:00 Kyiv time</w:t>
      </w:r>
      <w:r w:rsidRPr="00FB2912">
        <w:rPr>
          <w:rFonts w:ascii="Verdana" w:eastAsia="Verdana" w:hAnsi="Verdana" w:cs="Verdana"/>
          <w:sz w:val="20"/>
          <w:szCs w:val="20"/>
          <w:lang w:val="en-GB"/>
        </w:rPr>
        <w:t>.</w:t>
      </w:r>
    </w:p>
    <w:p w14:paraId="6C17E469" w14:textId="77777777" w:rsidR="008B40A3" w:rsidRPr="00FB2912" w:rsidRDefault="008B40A3" w:rsidP="008B40A3">
      <w:pPr>
        <w:spacing w:before="120" w:after="120"/>
        <w:jc w:val="both"/>
        <w:rPr>
          <w:rFonts w:ascii="Verdana" w:eastAsia="Verdana" w:hAnsi="Verdana" w:cs="Verdana"/>
          <w:sz w:val="20"/>
          <w:szCs w:val="20"/>
          <w:lang w:val="en-GB"/>
        </w:rPr>
      </w:pPr>
      <w:r w:rsidRPr="00FB2912">
        <w:rPr>
          <w:rFonts w:ascii="Verdana" w:eastAsia="Verdana" w:hAnsi="Verdana" w:cs="Verdana"/>
          <w:sz w:val="20"/>
          <w:szCs w:val="20"/>
          <w:lang w:val="en-GB"/>
        </w:rPr>
        <w:t xml:space="preserve">All interested candidates should submit the following documents </w:t>
      </w:r>
      <w:r w:rsidRPr="00FB2912">
        <w:rPr>
          <w:rFonts w:ascii="Verdana" w:eastAsia="Verdana" w:hAnsi="Verdana" w:cs="Verdana"/>
          <w:b/>
          <w:bCs/>
          <w:sz w:val="20"/>
          <w:szCs w:val="20"/>
          <w:lang w:val="en-GB"/>
        </w:rPr>
        <w:t>in English</w:t>
      </w:r>
      <w:r w:rsidRPr="00FB2912">
        <w:rPr>
          <w:rFonts w:ascii="Verdana" w:eastAsia="Verdana" w:hAnsi="Verdana" w:cs="Verdana"/>
          <w:sz w:val="20"/>
          <w:szCs w:val="20"/>
          <w:lang w:val="en-GB"/>
        </w:rPr>
        <w:t>:</w:t>
      </w:r>
    </w:p>
    <w:p w14:paraId="6BA27046" w14:textId="77777777" w:rsidR="008B40A3" w:rsidRPr="00FB2912" w:rsidRDefault="008B40A3" w:rsidP="008B40A3">
      <w:pPr>
        <w:numPr>
          <w:ilvl w:val="0"/>
          <w:numId w:val="15"/>
        </w:numPr>
        <w:spacing w:before="120"/>
        <w:jc w:val="both"/>
        <w:rPr>
          <w:rFonts w:ascii="Verdana" w:eastAsia="Verdana" w:hAnsi="Verdana" w:cs="Verdana"/>
          <w:sz w:val="20"/>
          <w:szCs w:val="20"/>
          <w:lang w:val="en-GB"/>
        </w:rPr>
      </w:pPr>
      <w:r w:rsidRPr="00FB2912">
        <w:rPr>
          <w:rFonts w:ascii="Verdana" w:hAnsi="Verdana"/>
          <w:color w:val="000000"/>
          <w:sz w:val="20"/>
          <w:szCs w:val="20"/>
        </w:rPr>
        <w:t xml:space="preserve">The CV (no more than 5 pages long) that should include description of the previous relevant assignments, key duties </w:t>
      </w:r>
      <w:r w:rsidRPr="00FB2912">
        <w:rPr>
          <w:rFonts w:ascii="Verdana" w:eastAsia="Verdana" w:hAnsi="Verdana" w:cs="Verdana"/>
          <w:sz w:val="20"/>
          <w:szCs w:val="20"/>
          <w:lang w:val="en-GB"/>
        </w:rPr>
        <w:t>on this assignment;</w:t>
      </w:r>
    </w:p>
    <w:p w14:paraId="51BA2F6E" w14:textId="44748303" w:rsidR="008B40A3" w:rsidRPr="00FB2912" w:rsidRDefault="008B40A3" w:rsidP="008B40A3">
      <w:pPr>
        <w:numPr>
          <w:ilvl w:val="0"/>
          <w:numId w:val="15"/>
        </w:numPr>
        <w:jc w:val="both"/>
        <w:rPr>
          <w:rFonts w:ascii="Verdana" w:eastAsia="Verdana" w:hAnsi="Verdana" w:cs="Verdana"/>
          <w:sz w:val="20"/>
          <w:szCs w:val="20"/>
          <w:lang w:val="en-GB"/>
        </w:rPr>
      </w:pPr>
      <w:r w:rsidRPr="00FB2912">
        <w:rPr>
          <w:rFonts w:ascii="Verdana" w:eastAsia="Verdana" w:hAnsi="Verdana" w:cs="Verdana"/>
          <w:sz w:val="20"/>
          <w:szCs w:val="20"/>
          <w:lang w:val="en-GB"/>
        </w:rPr>
        <w:t>Portfolio of previously implemented projects and outputs relevant to the position or description of assignments and deliverables similar to this project;</w:t>
      </w:r>
    </w:p>
    <w:p w14:paraId="44D2DAA4" w14:textId="0C64F851" w:rsidR="0057403C" w:rsidRPr="00FB2912" w:rsidRDefault="00FB2912" w:rsidP="008B40A3">
      <w:pPr>
        <w:numPr>
          <w:ilvl w:val="0"/>
          <w:numId w:val="15"/>
        </w:numPr>
        <w:jc w:val="both"/>
        <w:rPr>
          <w:rFonts w:ascii="Verdana" w:eastAsia="Verdana" w:hAnsi="Verdana" w:cs="Verdana"/>
          <w:sz w:val="20"/>
          <w:szCs w:val="20"/>
          <w:lang w:val="en-GB"/>
        </w:rPr>
      </w:pPr>
      <w:r w:rsidRPr="00FB2912">
        <w:rPr>
          <w:rFonts w:ascii="Verdana" w:eastAsia="Verdana" w:hAnsi="Verdana" w:cs="Verdana"/>
          <w:sz w:val="20"/>
          <w:szCs w:val="20"/>
          <w:lang w:val="en-GB"/>
        </w:rPr>
        <w:t>Financial offer</w:t>
      </w:r>
      <w:r w:rsidR="0057403C" w:rsidRPr="00FB2912">
        <w:rPr>
          <w:rFonts w:ascii="Verdana" w:eastAsia="Verdana" w:hAnsi="Verdana" w:cs="Verdana"/>
          <w:sz w:val="20"/>
          <w:szCs w:val="20"/>
          <w:lang w:val="en-GB"/>
        </w:rPr>
        <w:t xml:space="preserve"> in EUR, inclusive of all taxes, applicable charges, and any other costs necessary for the execution of all tasks, indicating the proposed number of working days </w:t>
      </w:r>
      <w:r w:rsidR="0057403C" w:rsidRPr="00FB2912">
        <w:rPr>
          <w:rFonts w:ascii="Verdana" w:eastAsia="Verdana" w:hAnsi="Verdana" w:cs="Verdana"/>
          <w:sz w:val="20"/>
          <w:szCs w:val="20"/>
          <w:lang w:val="en-GB"/>
        </w:rPr>
        <w:lastRenderedPageBreak/>
        <w:t>for the assignment, with a breakdown of working days and the corresponding price for each task/deliverable</w:t>
      </w:r>
      <w:r w:rsidRPr="00FB2912">
        <w:rPr>
          <w:rFonts w:ascii="Verdana" w:eastAsia="Verdana" w:hAnsi="Verdana" w:cs="Verdana"/>
          <w:sz w:val="20"/>
          <w:szCs w:val="20"/>
          <w:lang w:val="en-GB"/>
        </w:rPr>
        <w:t>.</w:t>
      </w:r>
    </w:p>
    <w:p w14:paraId="2B82B8F4" w14:textId="77777777" w:rsidR="00FB2912" w:rsidRDefault="00FB2912" w:rsidP="00212ABA">
      <w:pPr>
        <w:spacing w:line="240" w:lineRule="auto"/>
        <w:jc w:val="both"/>
        <w:rPr>
          <w:rFonts w:ascii="Verdana" w:eastAsia="Verdana" w:hAnsi="Verdana" w:cs="Verdana"/>
          <w:sz w:val="20"/>
          <w:szCs w:val="20"/>
          <w:lang w:val="en-GB"/>
        </w:rPr>
      </w:pPr>
    </w:p>
    <w:p w14:paraId="7BA9DDC8" w14:textId="1D1D5741" w:rsidR="00FB2912" w:rsidRPr="00FB2912" w:rsidRDefault="008B40A3" w:rsidP="00212ABA">
      <w:pPr>
        <w:spacing w:line="240" w:lineRule="auto"/>
        <w:jc w:val="both"/>
        <w:rPr>
          <w:rFonts w:ascii="Verdana" w:eastAsia="Verdana" w:hAnsi="Verdana" w:cs="Verdana"/>
          <w:b/>
          <w:bCs/>
          <w:sz w:val="20"/>
          <w:szCs w:val="20"/>
          <w:lang w:val="en-GB"/>
        </w:rPr>
      </w:pPr>
      <w:r w:rsidRPr="001D7DDF">
        <w:rPr>
          <w:rFonts w:ascii="Verdana" w:eastAsia="Verdana" w:hAnsi="Verdana" w:cs="Verdana"/>
          <w:sz w:val="20"/>
          <w:szCs w:val="20"/>
          <w:lang w:val="en-GB"/>
        </w:rPr>
        <w:t>If these documents are not submitted in line with the requirements above, the bid will not be considered.</w:t>
      </w:r>
      <w:r w:rsidRPr="001D7DDF">
        <w:rPr>
          <w:rFonts w:ascii="Verdana" w:eastAsia="Verdana" w:hAnsi="Verdana" w:cs="Verdana"/>
          <w:sz w:val="20"/>
          <w:szCs w:val="20"/>
          <w:lang w:val="en-GB"/>
        </w:rPr>
        <w:br/>
      </w:r>
      <w:r w:rsidRPr="001D7DDF">
        <w:rPr>
          <w:rFonts w:ascii="Verdana" w:eastAsia="Verdana" w:hAnsi="Verdana" w:cs="Verdana"/>
          <w:sz w:val="20"/>
          <w:szCs w:val="20"/>
          <w:lang w:val="en-GB"/>
        </w:rPr>
        <w:br/>
        <w:t xml:space="preserve">The proposal shall include the aforementioned information and should be submitted within the above deadline to </w:t>
      </w:r>
      <w:r w:rsidR="00C11C57" w:rsidRPr="001D7DDF">
        <w:rPr>
          <w:rFonts w:ascii="Verdana" w:eastAsia="Verdana" w:hAnsi="Verdana" w:cs="Verdana"/>
          <w:b/>
          <w:bCs/>
          <w:sz w:val="20"/>
          <w:szCs w:val="20"/>
          <w:lang w:val="en-GB"/>
        </w:rPr>
        <w:t>euaci</w:t>
      </w:r>
      <w:r w:rsidRPr="001D7DDF">
        <w:rPr>
          <w:rFonts w:ascii="Verdana" w:eastAsia="Verdana" w:hAnsi="Verdana" w:cs="Verdana"/>
          <w:b/>
          <w:bCs/>
          <w:sz w:val="20"/>
          <w:szCs w:val="20"/>
          <w:lang w:val="en-GB"/>
        </w:rPr>
        <w:t xml:space="preserve">@um.dk cc to </w:t>
      </w:r>
      <w:r w:rsidR="00517FE0" w:rsidRPr="001D7DDF">
        <w:rPr>
          <w:rFonts w:ascii="Verdana" w:eastAsia="Verdana" w:hAnsi="Verdana" w:cs="Verdana"/>
          <w:b/>
          <w:bCs/>
          <w:sz w:val="20"/>
          <w:szCs w:val="20"/>
          <w:lang w:val="en-GB"/>
        </w:rPr>
        <w:t>marsic</w:t>
      </w:r>
      <w:r w:rsidRPr="001D7DDF">
        <w:rPr>
          <w:rFonts w:ascii="Verdana" w:eastAsia="Verdana" w:hAnsi="Verdana" w:cs="Verdana"/>
          <w:b/>
          <w:bCs/>
          <w:sz w:val="20"/>
          <w:szCs w:val="20"/>
          <w:lang w:val="en-GB"/>
        </w:rPr>
        <w:t>@um.dk</w:t>
      </w:r>
      <w:r w:rsidRPr="001D7DDF">
        <w:rPr>
          <w:rFonts w:ascii="Verdana" w:eastAsia="Verdana" w:hAnsi="Verdana" w:cs="Verdana"/>
          <w:sz w:val="20"/>
          <w:szCs w:val="20"/>
          <w:lang w:val="en-GB"/>
        </w:rPr>
        <w:t xml:space="preserve"> indicating the subject line:</w:t>
      </w:r>
      <w:r w:rsidR="00212ABA">
        <w:rPr>
          <w:rFonts w:ascii="Verdana" w:eastAsia="Verdana" w:hAnsi="Verdana" w:cs="Verdana"/>
          <w:sz w:val="20"/>
          <w:szCs w:val="20"/>
          <w:lang w:val="en-GB"/>
        </w:rPr>
        <w:t xml:space="preserve"> </w:t>
      </w:r>
      <w:r w:rsidRPr="00FB2912">
        <w:rPr>
          <w:rFonts w:ascii="Verdana" w:eastAsia="Verdana" w:hAnsi="Verdana" w:cs="Verdana"/>
          <w:sz w:val="20"/>
          <w:szCs w:val="20"/>
          <w:lang w:val="en-GB"/>
        </w:rPr>
        <w:t>“</w:t>
      </w:r>
      <w:r w:rsidR="00FB2912" w:rsidRPr="00FB2912">
        <w:rPr>
          <w:rFonts w:ascii="Verdana" w:eastAsia="Verdana" w:hAnsi="Verdana" w:cs="Verdana"/>
          <w:b/>
          <w:bCs/>
          <w:sz w:val="20"/>
          <w:szCs w:val="20"/>
          <w:lang w:val="en-GB"/>
        </w:rPr>
        <w:t>Sectoral expert in corruption risk assessment methodology”.</w:t>
      </w:r>
    </w:p>
    <w:p w14:paraId="3EB9BFBD" w14:textId="77777777" w:rsidR="00FB2912" w:rsidRPr="00FB2912" w:rsidRDefault="00FB2912" w:rsidP="00212ABA">
      <w:pPr>
        <w:spacing w:line="240" w:lineRule="auto"/>
        <w:jc w:val="both"/>
        <w:rPr>
          <w:rFonts w:ascii="Verdana" w:eastAsia="Verdana" w:hAnsi="Verdana" w:cs="Verdana"/>
          <w:b/>
          <w:bCs/>
          <w:sz w:val="20"/>
          <w:szCs w:val="20"/>
        </w:rPr>
      </w:pPr>
    </w:p>
    <w:p w14:paraId="6645D419" w14:textId="30038C88" w:rsidR="00212ABA" w:rsidRDefault="008B40A3" w:rsidP="00212ABA">
      <w:pPr>
        <w:spacing w:line="240" w:lineRule="auto"/>
        <w:jc w:val="both"/>
        <w:rPr>
          <w:rFonts w:ascii="Verdana" w:eastAsia="Verdana" w:hAnsi="Verdana" w:cs="Verdana"/>
          <w:sz w:val="20"/>
          <w:szCs w:val="20"/>
          <w:lang w:val="en-GB"/>
        </w:rPr>
      </w:pPr>
      <w:r w:rsidRPr="00265954">
        <w:rPr>
          <w:rFonts w:ascii="Verdana" w:eastAsia="Verdana" w:hAnsi="Verdana" w:cs="Verdana"/>
          <w:sz w:val="20"/>
          <w:szCs w:val="20"/>
          <w:lang w:val="en-GB"/>
        </w:rPr>
        <w:t>Bidding language: English</w:t>
      </w:r>
      <w:r>
        <w:rPr>
          <w:rFonts w:ascii="Verdana" w:eastAsia="Verdana" w:hAnsi="Verdana" w:cs="Verdana"/>
          <w:sz w:val="20"/>
          <w:szCs w:val="20"/>
          <w:lang w:val="en-GB"/>
        </w:rPr>
        <w:t>.</w:t>
      </w:r>
    </w:p>
    <w:p w14:paraId="13330929" w14:textId="77777777" w:rsidR="00212ABA" w:rsidRDefault="00212ABA" w:rsidP="00212ABA">
      <w:pPr>
        <w:spacing w:line="240" w:lineRule="auto"/>
        <w:jc w:val="both"/>
        <w:rPr>
          <w:rFonts w:ascii="Verdana" w:eastAsia="Verdana" w:hAnsi="Verdana" w:cs="Verdana"/>
          <w:sz w:val="20"/>
          <w:szCs w:val="20"/>
          <w:lang w:val="en-GB"/>
        </w:rPr>
      </w:pPr>
    </w:p>
    <w:p w14:paraId="1955FEC2" w14:textId="2D0B3047" w:rsidR="008B40A3" w:rsidRPr="00265954" w:rsidRDefault="008B40A3" w:rsidP="00212ABA">
      <w:pPr>
        <w:spacing w:line="240" w:lineRule="auto"/>
        <w:jc w:val="both"/>
        <w:rPr>
          <w:rFonts w:ascii="Verdana" w:eastAsia="Verdana" w:hAnsi="Verdana" w:cs="Verdana"/>
          <w:sz w:val="20"/>
          <w:szCs w:val="20"/>
          <w:lang w:val="en-GB"/>
        </w:rPr>
      </w:pPr>
      <w:r w:rsidRPr="000C709D">
        <w:rPr>
          <w:rFonts w:ascii="Verdana" w:eastAsia="Times New Roman" w:hAnsi="Verdana" w:cs="Times New Roman"/>
          <w:color w:val="000000"/>
          <w:sz w:val="20"/>
          <w:szCs w:val="20"/>
          <w:lang w:val="en-GB"/>
        </w:rPr>
        <w:t>Any clarification questions regarding the terms of reference should be addressed to marsic@um.dk, not later than</w:t>
      </w:r>
      <w:r w:rsidRPr="00265954">
        <w:rPr>
          <w:rFonts w:ascii="Verdana" w:eastAsia="Verdana" w:hAnsi="Verdana" w:cs="Verdana"/>
          <w:sz w:val="20"/>
          <w:szCs w:val="20"/>
          <w:lang w:val="en-GB"/>
        </w:rPr>
        <w:t xml:space="preserve"> </w:t>
      </w:r>
      <w:r w:rsidR="008307CE">
        <w:rPr>
          <w:rFonts w:ascii="Verdana" w:eastAsia="Verdana" w:hAnsi="Verdana" w:cs="Verdana"/>
          <w:b/>
          <w:bCs/>
          <w:sz w:val="20"/>
          <w:szCs w:val="20"/>
          <w:lang w:val="en-GB"/>
        </w:rPr>
        <w:t>14</w:t>
      </w:r>
      <w:r w:rsidR="008307CE" w:rsidRPr="00212ABA">
        <w:rPr>
          <w:rFonts w:ascii="Verdana" w:eastAsia="Verdana" w:hAnsi="Verdana" w:cs="Verdana"/>
          <w:b/>
          <w:bCs/>
          <w:sz w:val="20"/>
          <w:szCs w:val="20"/>
          <w:lang w:val="en-GB"/>
        </w:rPr>
        <w:t xml:space="preserve"> </w:t>
      </w:r>
      <w:r w:rsidR="000341DB">
        <w:rPr>
          <w:rFonts w:ascii="Verdana" w:eastAsia="Verdana" w:hAnsi="Verdana" w:cs="Verdana"/>
          <w:b/>
          <w:bCs/>
          <w:sz w:val="20"/>
          <w:szCs w:val="20"/>
          <w:lang w:val="en-GB"/>
        </w:rPr>
        <w:t>June</w:t>
      </w:r>
      <w:r w:rsidR="000341DB" w:rsidRPr="00212ABA">
        <w:rPr>
          <w:rFonts w:ascii="Verdana" w:eastAsia="Verdana" w:hAnsi="Verdana" w:cs="Verdana"/>
          <w:b/>
          <w:bCs/>
          <w:sz w:val="20"/>
          <w:szCs w:val="20"/>
          <w:lang w:val="en-GB"/>
        </w:rPr>
        <w:t xml:space="preserve"> </w:t>
      </w:r>
      <w:r w:rsidRPr="00212ABA">
        <w:rPr>
          <w:rFonts w:ascii="Verdana" w:eastAsia="Verdana" w:hAnsi="Verdana" w:cs="Verdana"/>
          <w:b/>
          <w:bCs/>
          <w:sz w:val="20"/>
          <w:szCs w:val="20"/>
          <w:lang w:val="en-GB"/>
        </w:rPr>
        <w:t>202</w:t>
      </w:r>
      <w:r w:rsidR="001D7DDF" w:rsidRPr="00212ABA">
        <w:rPr>
          <w:rFonts w:ascii="Verdana" w:eastAsia="Verdana" w:hAnsi="Verdana" w:cs="Verdana"/>
          <w:b/>
          <w:bCs/>
          <w:sz w:val="20"/>
          <w:szCs w:val="20"/>
          <w:lang w:val="en-GB"/>
        </w:rPr>
        <w:t>6</w:t>
      </w:r>
      <w:r w:rsidRPr="00212ABA">
        <w:rPr>
          <w:rFonts w:ascii="Verdana" w:eastAsia="Verdana" w:hAnsi="Verdana" w:cs="Verdana"/>
          <w:b/>
          <w:bCs/>
          <w:sz w:val="20"/>
          <w:szCs w:val="20"/>
          <w:lang w:val="en-GB"/>
        </w:rPr>
        <w:t>, 18-00 Kyiv time</w:t>
      </w:r>
      <w:r w:rsidRPr="00212ABA">
        <w:rPr>
          <w:rFonts w:ascii="Verdana" w:eastAsia="Verdana" w:hAnsi="Verdana" w:cs="Verdana"/>
          <w:sz w:val="20"/>
          <w:szCs w:val="20"/>
          <w:lang w:val="en-GB"/>
        </w:rPr>
        <w:t>.</w:t>
      </w:r>
    </w:p>
    <w:p w14:paraId="131B285A" w14:textId="77777777" w:rsidR="008B40A3" w:rsidRPr="00265954" w:rsidRDefault="008B40A3" w:rsidP="008B40A3">
      <w:pPr>
        <w:spacing w:before="120" w:after="120"/>
        <w:jc w:val="both"/>
        <w:rPr>
          <w:rFonts w:ascii="Verdana" w:eastAsia="Verdana" w:hAnsi="Verdana" w:cs="Verdana"/>
          <w:b/>
          <w:bCs/>
          <w:color w:val="666666"/>
          <w:sz w:val="20"/>
          <w:szCs w:val="20"/>
          <w:lang w:val="en-GB"/>
        </w:rPr>
      </w:pPr>
      <w:r w:rsidRPr="00265954">
        <w:rPr>
          <w:rFonts w:ascii="Verdana" w:eastAsia="Verdana" w:hAnsi="Verdana" w:cs="Verdana"/>
          <w:b/>
          <w:bCs/>
          <w:sz w:val="20"/>
          <w:szCs w:val="20"/>
          <w:u w:val="single"/>
          <w:lang w:val="en-GB"/>
        </w:rPr>
        <w:t>Evaluation criteria</w:t>
      </w:r>
    </w:p>
    <w:p w14:paraId="13E7D04D" w14:textId="77777777" w:rsidR="008B40A3" w:rsidRPr="00265954" w:rsidRDefault="008B40A3" w:rsidP="008B40A3">
      <w:pPr>
        <w:spacing w:after="200"/>
        <w:rPr>
          <w:rFonts w:ascii="Verdana" w:eastAsia="Verdana" w:hAnsi="Verdana" w:cs="Verdana"/>
          <w:sz w:val="20"/>
          <w:szCs w:val="20"/>
          <w:lang w:val="en-GB"/>
        </w:rPr>
      </w:pPr>
      <w:r w:rsidRPr="00265954">
        <w:rPr>
          <w:rFonts w:ascii="Verdana" w:eastAsia="Verdana" w:hAnsi="Verdana" w:cs="Verdana"/>
          <w:sz w:val="20"/>
          <w:szCs w:val="20"/>
          <w:lang w:val="en-GB"/>
        </w:rPr>
        <w:t>Bids will be evaluated under the criteria provided below:</w:t>
      </w:r>
    </w:p>
    <w:tbl>
      <w:tblPr>
        <w:tblW w:w="8940" w:type="dxa"/>
        <w:tblInd w:w="10" w:type="dxa"/>
        <w:tblBorders>
          <w:top w:val="single" w:sz="8" w:space="0" w:color="000000"/>
          <w:left w:val="single" w:sz="8" w:space="0" w:color="4BACC6"/>
          <w:bottom w:val="single" w:sz="8" w:space="0" w:color="000000"/>
          <w:right w:val="single" w:sz="8" w:space="0" w:color="4BACC6"/>
          <w:insideH w:val="single" w:sz="4" w:space="0" w:color="000000"/>
          <w:insideV w:val="single" w:sz="4" w:space="0" w:color="000000"/>
        </w:tblBorders>
        <w:tblLayout w:type="fixed"/>
        <w:tblLook w:val="0600" w:firstRow="0" w:lastRow="0" w:firstColumn="0" w:lastColumn="0" w:noHBand="1" w:noVBand="1"/>
      </w:tblPr>
      <w:tblGrid>
        <w:gridCol w:w="345"/>
        <w:gridCol w:w="6210"/>
        <w:gridCol w:w="2385"/>
      </w:tblGrid>
      <w:tr w:rsidR="008B40A3" w:rsidRPr="00265954" w14:paraId="2D6A4371" w14:textId="77777777" w:rsidTr="00C9284B">
        <w:trPr>
          <w:trHeight w:val="329"/>
        </w:trPr>
        <w:tc>
          <w:tcPr>
            <w:tcW w:w="345" w:type="dxa"/>
            <w:tcBorders>
              <w:top w:val="single" w:sz="8" w:space="0" w:color="000000"/>
              <w:left w:val="nil"/>
              <w:bottom w:val="single" w:sz="4" w:space="0" w:color="000000"/>
            </w:tcBorders>
            <w:shd w:val="clear" w:color="auto" w:fill="C2D69B" w:themeFill="accent3" w:themeFillTint="99"/>
          </w:tcPr>
          <w:p w14:paraId="3F2ED803"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w:t>
            </w:r>
          </w:p>
        </w:tc>
        <w:tc>
          <w:tcPr>
            <w:tcW w:w="6210" w:type="dxa"/>
            <w:tcBorders>
              <w:top w:val="single" w:sz="8" w:space="0" w:color="000000"/>
              <w:bottom w:val="single" w:sz="4" w:space="0" w:color="000000"/>
            </w:tcBorders>
            <w:shd w:val="clear" w:color="auto" w:fill="C2D69B" w:themeFill="accent3" w:themeFillTint="99"/>
          </w:tcPr>
          <w:p w14:paraId="0321D438"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Criteria</w:t>
            </w:r>
          </w:p>
        </w:tc>
        <w:tc>
          <w:tcPr>
            <w:tcW w:w="2385" w:type="dxa"/>
            <w:tcBorders>
              <w:top w:val="single" w:sz="8" w:space="0" w:color="000000"/>
              <w:bottom w:val="single" w:sz="4" w:space="0" w:color="000000"/>
              <w:right w:val="nil"/>
            </w:tcBorders>
            <w:shd w:val="clear" w:color="auto" w:fill="C2D69B" w:themeFill="accent3" w:themeFillTint="99"/>
          </w:tcPr>
          <w:p w14:paraId="43D715C0"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Weight</w:t>
            </w:r>
          </w:p>
        </w:tc>
      </w:tr>
      <w:tr w:rsidR="008B40A3" w:rsidRPr="00265954" w14:paraId="6AD3F152" w14:textId="77777777" w:rsidTr="00C9284B">
        <w:tc>
          <w:tcPr>
            <w:tcW w:w="345" w:type="dxa"/>
            <w:tcBorders>
              <w:top w:val="dotted" w:sz="4" w:space="0" w:color="000000"/>
              <w:left w:val="nil"/>
              <w:bottom w:val="dotted" w:sz="4" w:space="0" w:color="000000"/>
            </w:tcBorders>
          </w:tcPr>
          <w:p w14:paraId="60AA049D"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1</w:t>
            </w:r>
          </w:p>
        </w:tc>
        <w:tc>
          <w:tcPr>
            <w:tcW w:w="6210" w:type="dxa"/>
            <w:tcBorders>
              <w:top w:val="dotted" w:sz="4" w:space="0" w:color="000000"/>
              <w:bottom w:val="dotted" w:sz="4" w:space="0" w:color="000000"/>
            </w:tcBorders>
          </w:tcPr>
          <w:p w14:paraId="757FEE92" w14:textId="2CB0FBE0" w:rsidR="008B40A3" w:rsidRPr="00265954" w:rsidRDefault="005A640F"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Relevant experience, skills and competencies</w:t>
            </w:r>
            <w:r>
              <w:rPr>
                <w:rFonts w:ascii="Verdana" w:eastAsia="Verdana" w:hAnsi="Verdana" w:cs="Verdana"/>
                <w:sz w:val="20"/>
                <w:szCs w:val="20"/>
                <w:lang w:val="en-GB"/>
              </w:rPr>
              <w:t xml:space="preserve"> of participant(s) (CVs)</w:t>
            </w:r>
          </w:p>
        </w:tc>
        <w:tc>
          <w:tcPr>
            <w:tcW w:w="2385" w:type="dxa"/>
            <w:tcBorders>
              <w:top w:val="dotted" w:sz="4" w:space="0" w:color="000000"/>
              <w:bottom w:val="dotted" w:sz="4" w:space="0" w:color="000000"/>
              <w:right w:val="nil"/>
            </w:tcBorders>
          </w:tcPr>
          <w:p w14:paraId="47F05AB0" w14:textId="63EF6520" w:rsidR="008B40A3" w:rsidRPr="00265954" w:rsidRDefault="005A640F" w:rsidP="00C9284B">
            <w:pPr>
              <w:spacing w:after="200"/>
              <w:rPr>
                <w:rFonts w:ascii="Verdana" w:eastAsia="Verdana" w:hAnsi="Verdana" w:cs="Verdana"/>
                <w:sz w:val="20"/>
                <w:szCs w:val="20"/>
                <w:lang w:val="en-GB"/>
              </w:rPr>
            </w:pPr>
            <w:r>
              <w:rPr>
                <w:rFonts w:ascii="Verdana" w:eastAsia="Verdana" w:hAnsi="Verdana" w:cs="Verdana"/>
                <w:sz w:val="20"/>
                <w:szCs w:val="20"/>
                <w:lang w:val="en-GB"/>
              </w:rPr>
              <w:t>3</w:t>
            </w:r>
            <w:r w:rsidR="008B40A3" w:rsidRPr="00265954">
              <w:rPr>
                <w:rFonts w:ascii="Verdana" w:eastAsia="Verdana" w:hAnsi="Verdana" w:cs="Verdana"/>
                <w:sz w:val="20"/>
                <w:szCs w:val="20"/>
                <w:lang w:val="en-GB"/>
              </w:rPr>
              <w:t>0%</w:t>
            </w:r>
          </w:p>
        </w:tc>
      </w:tr>
      <w:tr w:rsidR="008B40A3" w:rsidRPr="00265954" w14:paraId="0A131E79" w14:textId="77777777" w:rsidTr="00C9284B">
        <w:tc>
          <w:tcPr>
            <w:tcW w:w="345" w:type="dxa"/>
            <w:tcBorders>
              <w:top w:val="dotted" w:sz="4" w:space="0" w:color="000000"/>
              <w:left w:val="nil"/>
              <w:bottom w:val="dotted" w:sz="4" w:space="0" w:color="000000"/>
            </w:tcBorders>
          </w:tcPr>
          <w:p w14:paraId="5FDDB965"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2</w:t>
            </w:r>
          </w:p>
        </w:tc>
        <w:tc>
          <w:tcPr>
            <w:tcW w:w="6210" w:type="dxa"/>
            <w:tcBorders>
              <w:top w:val="dotted" w:sz="4" w:space="0" w:color="000000"/>
              <w:bottom w:val="dotted" w:sz="4" w:space="0" w:color="000000"/>
            </w:tcBorders>
          </w:tcPr>
          <w:p w14:paraId="581E3307"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Portfolio</w:t>
            </w:r>
          </w:p>
        </w:tc>
        <w:tc>
          <w:tcPr>
            <w:tcW w:w="2385" w:type="dxa"/>
            <w:tcBorders>
              <w:top w:val="dotted" w:sz="4" w:space="0" w:color="000000"/>
              <w:bottom w:val="dotted" w:sz="4" w:space="0" w:color="000000"/>
              <w:right w:val="nil"/>
            </w:tcBorders>
          </w:tcPr>
          <w:p w14:paraId="19987D7F" w14:textId="1FE015A5" w:rsidR="008B40A3" w:rsidRPr="00265954" w:rsidRDefault="005A640F" w:rsidP="00C9284B">
            <w:pPr>
              <w:spacing w:after="200"/>
              <w:rPr>
                <w:rFonts w:ascii="Verdana" w:eastAsia="Verdana" w:hAnsi="Verdana" w:cs="Verdana"/>
                <w:sz w:val="20"/>
                <w:szCs w:val="20"/>
                <w:lang w:val="en-GB"/>
              </w:rPr>
            </w:pPr>
            <w:r>
              <w:rPr>
                <w:rFonts w:ascii="Verdana" w:eastAsia="Verdana" w:hAnsi="Verdana" w:cs="Verdana"/>
                <w:sz w:val="20"/>
                <w:szCs w:val="20"/>
                <w:lang w:val="en-GB"/>
              </w:rPr>
              <w:t>5</w:t>
            </w:r>
            <w:r w:rsidR="008B40A3" w:rsidRPr="00265954">
              <w:rPr>
                <w:rFonts w:ascii="Verdana" w:eastAsia="Verdana" w:hAnsi="Verdana" w:cs="Verdana"/>
                <w:sz w:val="20"/>
                <w:szCs w:val="20"/>
                <w:lang w:val="en-GB"/>
              </w:rPr>
              <w:t>0%</w:t>
            </w:r>
          </w:p>
        </w:tc>
      </w:tr>
      <w:tr w:rsidR="008B40A3" w:rsidRPr="00265954" w14:paraId="084B61C5" w14:textId="77777777" w:rsidTr="00C9284B">
        <w:trPr>
          <w:trHeight w:val="344"/>
        </w:trPr>
        <w:tc>
          <w:tcPr>
            <w:tcW w:w="345" w:type="dxa"/>
            <w:tcBorders>
              <w:top w:val="dotted" w:sz="4" w:space="0" w:color="000000"/>
              <w:left w:val="nil"/>
              <w:bottom w:val="single" w:sz="4" w:space="0" w:color="000000"/>
            </w:tcBorders>
          </w:tcPr>
          <w:p w14:paraId="1A84B750"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3</w:t>
            </w:r>
          </w:p>
        </w:tc>
        <w:tc>
          <w:tcPr>
            <w:tcW w:w="6210" w:type="dxa"/>
            <w:tcBorders>
              <w:top w:val="dotted" w:sz="4" w:space="0" w:color="000000"/>
              <w:bottom w:val="single" w:sz="4" w:space="0" w:color="000000"/>
            </w:tcBorders>
          </w:tcPr>
          <w:p w14:paraId="70794A1B"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Proposed budget</w:t>
            </w:r>
          </w:p>
        </w:tc>
        <w:tc>
          <w:tcPr>
            <w:tcW w:w="2385" w:type="dxa"/>
            <w:tcBorders>
              <w:top w:val="dotted" w:sz="4" w:space="0" w:color="000000"/>
              <w:bottom w:val="single" w:sz="4" w:space="0" w:color="000000"/>
              <w:right w:val="nil"/>
            </w:tcBorders>
          </w:tcPr>
          <w:p w14:paraId="781CEA09"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20%</w:t>
            </w:r>
          </w:p>
        </w:tc>
      </w:tr>
    </w:tbl>
    <w:p w14:paraId="4EF277D7" w14:textId="77777777" w:rsidR="008B40A3" w:rsidRPr="00265954" w:rsidRDefault="008B40A3" w:rsidP="008B40A3">
      <w:pPr>
        <w:keepLines/>
        <w:spacing w:after="200"/>
        <w:rPr>
          <w:rFonts w:ascii="Verdana" w:eastAsia="Verdana" w:hAnsi="Verdana" w:cs="Verdana"/>
          <w:sz w:val="20"/>
          <w:szCs w:val="20"/>
          <w:lang w:val="en-GB"/>
        </w:rPr>
      </w:pPr>
    </w:p>
    <w:sectPr w:rsidR="008B40A3" w:rsidRPr="00265954" w:rsidSect="001C6F8B">
      <w:headerReference w:type="default" r:id="rId7"/>
      <w:footerReference w:type="default" r:id="rId8"/>
      <w:pgSz w:w="12240" w:h="15840"/>
      <w:pgMar w:top="1440" w:right="1041" w:bottom="170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6B6A" w14:textId="77777777" w:rsidR="00CF084F" w:rsidRDefault="00CF084F">
      <w:pPr>
        <w:spacing w:line="240" w:lineRule="auto"/>
      </w:pPr>
      <w:r>
        <w:separator/>
      </w:r>
    </w:p>
  </w:endnote>
  <w:endnote w:type="continuationSeparator" w:id="0">
    <w:p w14:paraId="151E8785" w14:textId="77777777" w:rsidR="00CF084F" w:rsidRDefault="00CF0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2BD6" w14:textId="77777777" w:rsidR="00D2273E" w:rsidRDefault="00D22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FF52" w14:textId="77777777" w:rsidR="00CF084F" w:rsidRDefault="00CF084F">
      <w:pPr>
        <w:spacing w:line="240" w:lineRule="auto"/>
      </w:pPr>
      <w:r>
        <w:separator/>
      </w:r>
    </w:p>
  </w:footnote>
  <w:footnote w:type="continuationSeparator" w:id="0">
    <w:p w14:paraId="60F3B381" w14:textId="77777777" w:rsidR="00CF084F" w:rsidRDefault="00CF0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E28" w14:textId="77777777" w:rsidR="00D2273E" w:rsidRDefault="004D0AC1">
    <w:pPr>
      <w:widowControl w:val="0"/>
      <w:ind w:left="100"/>
    </w:pPr>
    <w:r>
      <w:rPr>
        <w:rFonts w:ascii="Verdana" w:eastAsia="Verdana" w:hAnsi="Verdana" w:cs="Verdana"/>
        <w:noProof/>
        <w:sz w:val="20"/>
        <w:szCs w:val="20"/>
      </w:rPr>
      <w:drawing>
        <wp:inline distT="0" distB="0" distL="0" distR="0" wp14:anchorId="5AD2AE62" wp14:editId="5F78C1D6">
          <wp:extent cx="5763656" cy="83210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3656" cy="8321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A2704"/>
    <w:multiLevelType w:val="hybridMultilevel"/>
    <w:tmpl w:val="E9723D3A"/>
    <w:lvl w:ilvl="0" w:tplc="08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5F3EEF"/>
    <w:multiLevelType w:val="multilevel"/>
    <w:tmpl w:val="375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22818"/>
    <w:multiLevelType w:val="hybridMultilevel"/>
    <w:tmpl w:val="803AC6BA"/>
    <w:lvl w:ilvl="0" w:tplc="441C7D48">
      <w:start w:val="1"/>
      <w:numFmt w:val="decimal"/>
      <w:lvlText w:val="%1."/>
      <w:lvlJc w:val="left"/>
      <w:pPr>
        <w:ind w:left="720" w:hanging="360"/>
      </w:pPr>
      <w:rPr>
        <w:rFonts w:ascii="Verdana" w:eastAsia="Arial" w:hAnsi="Verdan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F4C38"/>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F04CA"/>
    <w:multiLevelType w:val="hybridMultilevel"/>
    <w:tmpl w:val="BC8E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D2ECE"/>
    <w:multiLevelType w:val="multilevel"/>
    <w:tmpl w:val="A67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57C365C"/>
    <w:multiLevelType w:val="multilevel"/>
    <w:tmpl w:val="4D80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F30D75"/>
    <w:multiLevelType w:val="multilevel"/>
    <w:tmpl w:val="FE5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303B4"/>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1400F"/>
    <w:multiLevelType w:val="multilevel"/>
    <w:tmpl w:val="A5C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03FD7"/>
    <w:multiLevelType w:val="hybridMultilevel"/>
    <w:tmpl w:val="E6B2F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73DB6"/>
    <w:multiLevelType w:val="multilevel"/>
    <w:tmpl w:val="5E5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D016D"/>
    <w:multiLevelType w:val="hybridMultilevel"/>
    <w:tmpl w:val="B986EFA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4" w15:restartNumberingAfterBreak="0">
    <w:nsid w:val="37BB3FF2"/>
    <w:multiLevelType w:val="multilevel"/>
    <w:tmpl w:val="C0D2D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653F26"/>
    <w:multiLevelType w:val="multilevel"/>
    <w:tmpl w:val="A41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C53B73"/>
    <w:multiLevelType w:val="multilevel"/>
    <w:tmpl w:val="F606E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640D97"/>
    <w:multiLevelType w:val="hybridMultilevel"/>
    <w:tmpl w:val="F3C436B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4C9B2CCC"/>
    <w:multiLevelType w:val="multilevel"/>
    <w:tmpl w:val="A3C2D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30DE2"/>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95532"/>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3EA0A3C"/>
    <w:multiLevelType w:val="multilevel"/>
    <w:tmpl w:val="8A52E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E51F07"/>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73D83"/>
    <w:multiLevelType w:val="multilevel"/>
    <w:tmpl w:val="13E8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B06EE"/>
    <w:multiLevelType w:val="multilevel"/>
    <w:tmpl w:val="33A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A6858"/>
    <w:multiLevelType w:val="multilevel"/>
    <w:tmpl w:val="9F20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7402E"/>
    <w:multiLevelType w:val="hybridMultilevel"/>
    <w:tmpl w:val="BFA4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C42B5"/>
    <w:multiLevelType w:val="multilevel"/>
    <w:tmpl w:val="CC9AD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F14B0E"/>
    <w:multiLevelType w:val="multilevel"/>
    <w:tmpl w:val="1A4C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43CC4"/>
    <w:multiLevelType w:val="multilevel"/>
    <w:tmpl w:val="FD9E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2351E"/>
    <w:multiLevelType w:val="multilevel"/>
    <w:tmpl w:val="D99A6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4362A8"/>
    <w:multiLevelType w:val="multilevel"/>
    <w:tmpl w:val="108AF5EC"/>
    <w:lvl w:ilvl="0">
      <w:start w:val="1"/>
      <w:numFmt w:val="decimal"/>
      <w:lvlText w:val="%1."/>
      <w:lvlJc w:val="left"/>
      <w:pPr>
        <w:ind w:left="400" w:hanging="400"/>
      </w:pPr>
      <w:rPr>
        <w:rFonts w:eastAsia="Verdana" w:cs="Verdana" w:hint="default"/>
        <w:color w:val="auto"/>
      </w:rPr>
    </w:lvl>
    <w:lvl w:ilvl="1">
      <w:start w:val="1"/>
      <w:numFmt w:val="decimal"/>
      <w:lvlText w:val="%1.%2."/>
      <w:lvlJc w:val="left"/>
      <w:pPr>
        <w:ind w:left="1440" w:hanging="720"/>
      </w:pPr>
      <w:rPr>
        <w:rFonts w:eastAsia="Verdana" w:cs="Verdana" w:hint="default"/>
        <w:color w:val="auto"/>
      </w:rPr>
    </w:lvl>
    <w:lvl w:ilvl="2">
      <w:start w:val="1"/>
      <w:numFmt w:val="decimal"/>
      <w:lvlText w:val="%1.%2.%3."/>
      <w:lvlJc w:val="left"/>
      <w:pPr>
        <w:ind w:left="2160" w:hanging="720"/>
      </w:pPr>
      <w:rPr>
        <w:rFonts w:eastAsia="Verdana" w:cs="Verdana" w:hint="default"/>
        <w:color w:val="auto"/>
      </w:rPr>
    </w:lvl>
    <w:lvl w:ilvl="3">
      <w:start w:val="1"/>
      <w:numFmt w:val="decimal"/>
      <w:lvlText w:val="%1.%2.%3.%4."/>
      <w:lvlJc w:val="left"/>
      <w:pPr>
        <w:ind w:left="3240" w:hanging="1080"/>
      </w:pPr>
      <w:rPr>
        <w:rFonts w:eastAsia="Verdana" w:cs="Verdana" w:hint="default"/>
        <w:color w:val="auto"/>
      </w:rPr>
    </w:lvl>
    <w:lvl w:ilvl="4">
      <w:start w:val="1"/>
      <w:numFmt w:val="decimal"/>
      <w:lvlText w:val="%1.%2.%3.%4.%5."/>
      <w:lvlJc w:val="left"/>
      <w:pPr>
        <w:ind w:left="4320" w:hanging="1440"/>
      </w:pPr>
      <w:rPr>
        <w:rFonts w:eastAsia="Verdana" w:cs="Verdana" w:hint="default"/>
        <w:color w:val="auto"/>
      </w:rPr>
    </w:lvl>
    <w:lvl w:ilvl="5">
      <w:start w:val="1"/>
      <w:numFmt w:val="decimal"/>
      <w:lvlText w:val="%1.%2.%3.%4.%5.%6."/>
      <w:lvlJc w:val="left"/>
      <w:pPr>
        <w:ind w:left="5040" w:hanging="1440"/>
      </w:pPr>
      <w:rPr>
        <w:rFonts w:eastAsia="Verdana" w:cs="Verdana" w:hint="default"/>
        <w:color w:val="auto"/>
      </w:rPr>
    </w:lvl>
    <w:lvl w:ilvl="6">
      <w:start w:val="1"/>
      <w:numFmt w:val="decimal"/>
      <w:lvlText w:val="%1.%2.%3.%4.%5.%6.%7."/>
      <w:lvlJc w:val="left"/>
      <w:pPr>
        <w:ind w:left="6120" w:hanging="1800"/>
      </w:pPr>
      <w:rPr>
        <w:rFonts w:eastAsia="Verdana" w:cs="Verdana" w:hint="default"/>
        <w:color w:val="auto"/>
      </w:rPr>
    </w:lvl>
    <w:lvl w:ilvl="7">
      <w:start w:val="1"/>
      <w:numFmt w:val="decimal"/>
      <w:lvlText w:val="%1.%2.%3.%4.%5.%6.%7.%8."/>
      <w:lvlJc w:val="left"/>
      <w:pPr>
        <w:ind w:left="7200" w:hanging="2160"/>
      </w:pPr>
      <w:rPr>
        <w:rFonts w:eastAsia="Verdana" w:cs="Verdana" w:hint="default"/>
        <w:color w:val="auto"/>
      </w:rPr>
    </w:lvl>
    <w:lvl w:ilvl="8">
      <w:start w:val="1"/>
      <w:numFmt w:val="decimal"/>
      <w:lvlText w:val="%1.%2.%3.%4.%5.%6.%7.%8.%9."/>
      <w:lvlJc w:val="left"/>
      <w:pPr>
        <w:ind w:left="7920" w:hanging="2160"/>
      </w:pPr>
      <w:rPr>
        <w:rFonts w:eastAsia="Verdana" w:cs="Verdana" w:hint="default"/>
        <w:color w:val="auto"/>
      </w:rPr>
    </w:lvl>
  </w:abstractNum>
  <w:abstractNum w:abstractNumId="32" w15:restartNumberingAfterBreak="0">
    <w:nsid w:val="7AF269A0"/>
    <w:multiLevelType w:val="hybridMultilevel"/>
    <w:tmpl w:val="CE1EE3C2"/>
    <w:lvl w:ilvl="0" w:tplc="08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6"/>
  </w:num>
  <w:num w:numId="2">
    <w:abstractNumId w:val="27"/>
  </w:num>
  <w:num w:numId="3">
    <w:abstractNumId w:val="6"/>
  </w:num>
  <w:num w:numId="4">
    <w:abstractNumId w:val="20"/>
  </w:num>
  <w:num w:numId="5">
    <w:abstractNumId w:val="14"/>
  </w:num>
  <w:num w:numId="6">
    <w:abstractNumId w:val="2"/>
  </w:num>
  <w:num w:numId="7">
    <w:abstractNumId w:val="5"/>
  </w:num>
  <w:num w:numId="8">
    <w:abstractNumId w:val="10"/>
  </w:num>
  <w:num w:numId="9">
    <w:abstractNumId w:val="19"/>
  </w:num>
  <w:num w:numId="10">
    <w:abstractNumId w:val="15"/>
  </w:num>
  <w:num w:numId="11">
    <w:abstractNumId w:val="9"/>
  </w:num>
  <w:num w:numId="12">
    <w:abstractNumId w:val="1"/>
    <w:lvlOverride w:ilvl="0">
      <w:lvl w:ilvl="0">
        <w:numFmt w:val="lowerLetter"/>
        <w:lvlText w:val="%1."/>
        <w:lvlJc w:val="left"/>
      </w:lvl>
    </w:lvlOverride>
  </w:num>
  <w:num w:numId="13">
    <w:abstractNumId w:val="22"/>
    <w:lvlOverride w:ilvl="0">
      <w:lvl w:ilvl="0">
        <w:numFmt w:val="lowerLetter"/>
        <w:lvlText w:val="%1."/>
        <w:lvlJc w:val="left"/>
      </w:lvl>
    </w:lvlOverride>
  </w:num>
  <w:num w:numId="14">
    <w:abstractNumId w:val="7"/>
  </w:num>
  <w:num w:numId="15">
    <w:abstractNumId w:val="21"/>
  </w:num>
  <w:num w:numId="16">
    <w:abstractNumId w:val="3"/>
  </w:num>
  <w:num w:numId="17">
    <w:abstractNumId w:val="3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2"/>
  </w:num>
  <w:num w:numId="21">
    <w:abstractNumId w:val="0"/>
  </w:num>
  <w:num w:numId="22">
    <w:abstractNumId w:val="17"/>
  </w:num>
  <w:num w:numId="23">
    <w:abstractNumId w:val="13"/>
  </w:num>
  <w:num w:numId="24">
    <w:abstractNumId w:val="11"/>
  </w:num>
  <w:num w:numId="25">
    <w:abstractNumId w:val="28"/>
  </w:num>
  <w:num w:numId="26">
    <w:abstractNumId w:val="25"/>
  </w:num>
  <w:num w:numId="27">
    <w:abstractNumId w:val="24"/>
  </w:num>
  <w:num w:numId="28">
    <w:abstractNumId w:val="8"/>
  </w:num>
  <w:num w:numId="29">
    <w:abstractNumId w:val="12"/>
  </w:num>
  <w:num w:numId="30">
    <w:abstractNumId w:val="0"/>
  </w:num>
  <w:num w:numId="31">
    <w:abstractNumId w:val="4"/>
  </w:num>
  <w:num w:numId="32">
    <w:abstractNumId w:val="29"/>
  </w:num>
  <w:num w:numId="33">
    <w:abstractNumId w:val="2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3E"/>
    <w:rsid w:val="00000A18"/>
    <w:rsid w:val="00014CA9"/>
    <w:rsid w:val="00015B90"/>
    <w:rsid w:val="0003070C"/>
    <w:rsid w:val="000341DB"/>
    <w:rsid w:val="000371E4"/>
    <w:rsid w:val="00041153"/>
    <w:rsid w:val="00053144"/>
    <w:rsid w:val="000728B0"/>
    <w:rsid w:val="000B7515"/>
    <w:rsid w:val="000C709D"/>
    <w:rsid w:val="000E44EF"/>
    <w:rsid w:val="000F6B65"/>
    <w:rsid w:val="000F6E52"/>
    <w:rsid w:val="001011B1"/>
    <w:rsid w:val="00103B3F"/>
    <w:rsid w:val="0012171C"/>
    <w:rsid w:val="00144FD1"/>
    <w:rsid w:val="00156296"/>
    <w:rsid w:val="00170630"/>
    <w:rsid w:val="001A5843"/>
    <w:rsid w:val="001C47B5"/>
    <w:rsid w:val="001C6F8B"/>
    <w:rsid w:val="001D31A4"/>
    <w:rsid w:val="001D7DDF"/>
    <w:rsid w:val="001E4803"/>
    <w:rsid w:val="0020080A"/>
    <w:rsid w:val="002009B2"/>
    <w:rsid w:val="00212ABA"/>
    <w:rsid w:val="00225F1B"/>
    <w:rsid w:val="002317E2"/>
    <w:rsid w:val="002400B2"/>
    <w:rsid w:val="00242576"/>
    <w:rsid w:val="002435BC"/>
    <w:rsid w:val="0027257D"/>
    <w:rsid w:val="00283C2F"/>
    <w:rsid w:val="002A6D4B"/>
    <w:rsid w:val="002C23BD"/>
    <w:rsid w:val="002C6637"/>
    <w:rsid w:val="002F2E6A"/>
    <w:rsid w:val="00302D09"/>
    <w:rsid w:val="00310608"/>
    <w:rsid w:val="003648AB"/>
    <w:rsid w:val="00372548"/>
    <w:rsid w:val="003A3489"/>
    <w:rsid w:val="003B4E6E"/>
    <w:rsid w:val="003D4217"/>
    <w:rsid w:val="003E7FA9"/>
    <w:rsid w:val="00400F46"/>
    <w:rsid w:val="00401A49"/>
    <w:rsid w:val="004229FD"/>
    <w:rsid w:val="004301FE"/>
    <w:rsid w:val="00442917"/>
    <w:rsid w:val="004474A3"/>
    <w:rsid w:val="0047012F"/>
    <w:rsid w:val="00472747"/>
    <w:rsid w:val="004771E0"/>
    <w:rsid w:val="004947DC"/>
    <w:rsid w:val="004A4F9F"/>
    <w:rsid w:val="004A638C"/>
    <w:rsid w:val="004B2E64"/>
    <w:rsid w:val="004D0AC1"/>
    <w:rsid w:val="004D444A"/>
    <w:rsid w:val="004E203D"/>
    <w:rsid w:val="004E6066"/>
    <w:rsid w:val="004F415A"/>
    <w:rsid w:val="00506104"/>
    <w:rsid w:val="00517FE0"/>
    <w:rsid w:val="00523DFE"/>
    <w:rsid w:val="00536D9F"/>
    <w:rsid w:val="00542D58"/>
    <w:rsid w:val="00554EB8"/>
    <w:rsid w:val="005614B9"/>
    <w:rsid w:val="00571413"/>
    <w:rsid w:val="0057403C"/>
    <w:rsid w:val="00575643"/>
    <w:rsid w:val="00596BCB"/>
    <w:rsid w:val="005A640F"/>
    <w:rsid w:val="005A745D"/>
    <w:rsid w:val="005C66A2"/>
    <w:rsid w:val="005D07D1"/>
    <w:rsid w:val="005D6E1D"/>
    <w:rsid w:val="005E12E1"/>
    <w:rsid w:val="005E6A94"/>
    <w:rsid w:val="00605D2D"/>
    <w:rsid w:val="006255FC"/>
    <w:rsid w:val="00637107"/>
    <w:rsid w:val="006532FB"/>
    <w:rsid w:val="00657A7F"/>
    <w:rsid w:val="006610E6"/>
    <w:rsid w:val="00661C7C"/>
    <w:rsid w:val="0066344D"/>
    <w:rsid w:val="00667AD1"/>
    <w:rsid w:val="00671CD4"/>
    <w:rsid w:val="006738C1"/>
    <w:rsid w:val="006800F3"/>
    <w:rsid w:val="006B1F82"/>
    <w:rsid w:val="006D0A64"/>
    <w:rsid w:val="00717082"/>
    <w:rsid w:val="00723476"/>
    <w:rsid w:val="00730427"/>
    <w:rsid w:val="007319BB"/>
    <w:rsid w:val="00732B95"/>
    <w:rsid w:val="00741311"/>
    <w:rsid w:val="007451C4"/>
    <w:rsid w:val="007703AD"/>
    <w:rsid w:val="00771F33"/>
    <w:rsid w:val="007936BD"/>
    <w:rsid w:val="007979D7"/>
    <w:rsid w:val="007A67FF"/>
    <w:rsid w:val="007A7C7F"/>
    <w:rsid w:val="007B69A2"/>
    <w:rsid w:val="007D12A0"/>
    <w:rsid w:val="007E2A3F"/>
    <w:rsid w:val="007E50D1"/>
    <w:rsid w:val="007F3837"/>
    <w:rsid w:val="007F3AEB"/>
    <w:rsid w:val="00800F31"/>
    <w:rsid w:val="0082740A"/>
    <w:rsid w:val="00827938"/>
    <w:rsid w:val="008307CE"/>
    <w:rsid w:val="00873565"/>
    <w:rsid w:val="00890A60"/>
    <w:rsid w:val="008A501A"/>
    <w:rsid w:val="008A5987"/>
    <w:rsid w:val="008B31FC"/>
    <w:rsid w:val="008B40A3"/>
    <w:rsid w:val="008F339F"/>
    <w:rsid w:val="0090283A"/>
    <w:rsid w:val="00910B60"/>
    <w:rsid w:val="00915DA5"/>
    <w:rsid w:val="00921631"/>
    <w:rsid w:val="0093261E"/>
    <w:rsid w:val="0094670D"/>
    <w:rsid w:val="009517E1"/>
    <w:rsid w:val="009C42F5"/>
    <w:rsid w:val="009C699F"/>
    <w:rsid w:val="009E67BD"/>
    <w:rsid w:val="009F1270"/>
    <w:rsid w:val="009F7054"/>
    <w:rsid w:val="00A17E57"/>
    <w:rsid w:val="00A47012"/>
    <w:rsid w:val="00A522C1"/>
    <w:rsid w:val="00A527C9"/>
    <w:rsid w:val="00A53F6B"/>
    <w:rsid w:val="00A54F3A"/>
    <w:rsid w:val="00A772C9"/>
    <w:rsid w:val="00A91E7C"/>
    <w:rsid w:val="00AC6C10"/>
    <w:rsid w:val="00AD2687"/>
    <w:rsid w:val="00AE1384"/>
    <w:rsid w:val="00AE1C23"/>
    <w:rsid w:val="00AE54D1"/>
    <w:rsid w:val="00AF5DF2"/>
    <w:rsid w:val="00AF622C"/>
    <w:rsid w:val="00B02612"/>
    <w:rsid w:val="00B1092A"/>
    <w:rsid w:val="00B233D1"/>
    <w:rsid w:val="00B27286"/>
    <w:rsid w:val="00B32641"/>
    <w:rsid w:val="00B53807"/>
    <w:rsid w:val="00B8284C"/>
    <w:rsid w:val="00B91AA7"/>
    <w:rsid w:val="00B92750"/>
    <w:rsid w:val="00B96C11"/>
    <w:rsid w:val="00BB2BC0"/>
    <w:rsid w:val="00BB510C"/>
    <w:rsid w:val="00BD17FC"/>
    <w:rsid w:val="00BF2B37"/>
    <w:rsid w:val="00C017AA"/>
    <w:rsid w:val="00C11C57"/>
    <w:rsid w:val="00C21CA0"/>
    <w:rsid w:val="00C2315C"/>
    <w:rsid w:val="00C30A4D"/>
    <w:rsid w:val="00C362D8"/>
    <w:rsid w:val="00C602D4"/>
    <w:rsid w:val="00C85C2B"/>
    <w:rsid w:val="00C87598"/>
    <w:rsid w:val="00C90E49"/>
    <w:rsid w:val="00CA69BE"/>
    <w:rsid w:val="00CF084F"/>
    <w:rsid w:val="00CF7C6B"/>
    <w:rsid w:val="00D210E0"/>
    <w:rsid w:val="00D2273E"/>
    <w:rsid w:val="00D33BE8"/>
    <w:rsid w:val="00D50F45"/>
    <w:rsid w:val="00D54E69"/>
    <w:rsid w:val="00D839BD"/>
    <w:rsid w:val="00D950F3"/>
    <w:rsid w:val="00DE13C4"/>
    <w:rsid w:val="00DE6952"/>
    <w:rsid w:val="00DF578C"/>
    <w:rsid w:val="00E24567"/>
    <w:rsid w:val="00E37678"/>
    <w:rsid w:val="00E426F1"/>
    <w:rsid w:val="00E46FE0"/>
    <w:rsid w:val="00E81E23"/>
    <w:rsid w:val="00E90D1D"/>
    <w:rsid w:val="00E941E9"/>
    <w:rsid w:val="00EA01C3"/>
    <w:rsid w:val="00EA08D7"/>
    <w:rsid w:val="00EB02B1"/>
    <w:rsid w:val="00EB529A"/>
    <w:rsid w:val="00EC1324"/>
    <w:rsid w:val="00ED7545"/>
    <w:rsid w:val="00F00B18"/>
    <w:rsid w:val="00F20FC9"/>
    <w:rsid w:val="00F22220"/>
    <w:rsid w:val="00F30FA7"/>
    <w:rsid w:val="00F42D9A"/>
    <w:rsid w:val="00F64CDD"/>
    <w:rsid w:val="00F668DF"/>
    <w:rsid w:val="00F73AFA"/>
    <w:rsid w:val="00F7705F"/>
    <w:rsid w:val="00F945D7"/>
    <w:rsid w:val="00FA549F"/>
    <w:rsid w:val="00FB2912"/>
    <w:rsid w:val="00FB4CD1"/>
    <w:rsid w:val="00FB6DFE"/>
    <w:rsid w:val="00FC0B9B"/>
    <w:rsid w:val="00FC79B1"/>
    <w:rsid w:val="00FE4249"/>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8619"/>
  <w15:docId w15:val="{86BCAA87-1A95-4D68-97AA-E935455D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E13C4"/>
    <w:pPr>
      <w:spacing w:after="200"/>
      <w:ind w:left="720"/>
      <w:contextualSpacing/>
    </w:pPr>
    <w:rPr>
      <w:rFonts w:ascii="Calibri" w:eastAsiaTheme="minorEastAsia" w:hAnsi="Calibri" w:cs="Calibri"/>
      <w:lang w:val="da-DK"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DE13C4"/>
    <w:rPr>
      <w:rFonts w:ascii="Calibri" w:eastAsiaTheme="minorEastAsia" w:hAnsi="Calibri" w:cs="Calibri"/>
      <w:lang w:val="da-DK" w:eastAsia="da-DK"/>
    </w:rPr>
  </w:style>
  <w:style w:type="paragraph" w:styleId="NormalWeb">
    <w:name w:val="Normal (Web)"/>
    <w:basedOn w:val="Normal"/>
    <w:uiPriority w:val="99"/>
    <w:unhideWhenUsed/>
    <w:rsid w:val="00DE13C4"/>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E13C4"/>
    <w:rPr>
      <w:b/>
      <w:bCs/>
    </w:rPr>
  </w:style>
  <w:style w:type="character" w:styleId="Emphasis">
    <w:name w:val="Emphasis"/>
    <w:basedOn w:val="DefaultParagraphFont"/>
    <w:uiPriority w:val="20"/>
    <w:qFormat/>
    <w:rsid w:val="006532FB"/>
    <w:rPr>
      <w:i/>
      <w:iCs/>
    </w:rPr>
  </w:style>
  <w:style w:type="character" w:customStyle="1" w:styleId="rynqvb">
    <w:name w:val="rynqvb"/>
    <w:basedOn w:val="DefaultParagraphFont"/>
    <w:rsid w:val="00F22220"/>
  </w:style>
  <w:style w:type="character" w:styleId="Hyperlink">
    <w:name w:val="Hyperlink"/>
    <w:basedOn w:val="DefaultParagraphFont"/>
    <w:uiPriority w:val="99"/>
    <w:semiHidden/>
    <w:unhideWhenUsed/>
    <w:rsid w:val="000C709D"/>
    <w:rPr>
      <w:color w:val="0000FF"/>
      <w:u w:val="single"/>
    </w:rPr>
  </w:style>
  <w:style w:type="paragraph" w:customStyle="1" w:styleId="font-claude-response-body">
    <w:name w:val="font-claude-response-bod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overtext-text-300">
    <w:name w:val="hover:text-text-300"/>
    <w:basedOn w:val="DefaultParagraphFont"/>
    <w:rsid w:val="000728B0"/>
  </w:style>
  <w:style w:type="paragraph" w:customStyle="1" w:styleId="is-empty">
    <w:name w:val="is-empt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3A3489"/>
    <w:rPr>
      <w:sz w:val="16"/>
      <w:szCs w:val="16"/>
    </w:rPr>
  </w:style>
  <w:style w:type="paragraph" w:styleId="CommentText">
    <w:name w:val="annotation text"/>
    <w:basedOn w:val="Normal"/>
    <w:link w:val="CommentTextChar"/>
    <w:uiPriority w:val="99"/>
    <w:semiHidden/>
    <w:unhideWhenUsed/>
    <w:rsid w:val="003A3489"/>
    <w:pPr>
      <w:spacing w:line="240" w:lineRule="auto"/>
    </w:pPr>
    <w:rPr>
      <w:sz w:val="20"/>
      <w:szCs w:val="20"/>
    </w:rPr>
  </w:style>
  <w:style w:type="character" w:customStyle="1" w:styleId="CommentTextChar">
    <w:name w:val="Comment Text Char"/>
    <w:basedOn w:val="DefaultParagraphFont"/>
    <w:link w:val="CommentText"/>
    <w:uiPriority w:val="99"/>
    <w:semiHidden/>
    <w:rsid w:val="003A3489"/>
    <w:rPr>
      <w:sz w:val="20"/>
      <w:szCs w:val="20"/>
    </w:rPr>
  </w:style>
  <w:style w:type="paragraph" w:styleId="CommentSubject">
    <w:name w:val="annotation subject"/>
    <w:basedOn w:val="CommentText"/>
    <w:next w:val="CommentText"/>
    <w:link w:val="CommentSubjectChar"/>
    <w:uiPriority w:val="99"/>
    <w:semiHidden/>
    <w:unhideWhenUsed/>
    <w:rsid w:val="003A3489"/>
    <w:rPr>
      <w:b/>
      <w:bCs/>
    </w:rPr>
  </w:style>
  <w:style w:type="character" w:customStyle="1" w:styleId="CommentSubjectChar">
    <w:name w:val="Comment Subject Char"/>
    <w:basedOn w:val="CommentTextChar"/>
    <w:link w:val="CommentSubject"/>
    <w:uiPriority w:val="99"/>
    <w:semiHidden/>
    <w:rsid w:val="003A3489"/>
    <w:rPr>
      <w:b/>
      <w:bCs/>
      <w:sz w:val="20"/>
      <w:szCs w:val="20"/>
    </w:rPr>
  </w:style>
  <w:style w:type="paragraph" w:customStyle="1" w:styleId="Default">
    <w:name w:val="Default"/>
    <w:rsid w:val="00921631"/>
    <w:pPr>
      <w:autoSpaceDE w:val="0"/>
      <w:autoSpaceDN w:val="0"/>
      <w:adjustRightInd w:val="0"/>
      <w:spacing w:line="240" w:lineRule="auto"/>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82">
      <w:bodyDiv w:val="1"/>
      <w:marLeft w:val="0"/>
      <w:marRight w:val="0"/>
      <w:marTop w:val="0"/>
      <w:marBottom w:val="0"/>
      <w:divBdr>
        <w:top w:val="none" w:sz="0" w:space="0" w:color="auto"/>
        <w:left w:val="none" w:sz="0" w:space="0" w:color="auto"/>
        <w:bottom w:val="none" w:sz="0" w:space="0" w:color="auto"/>
        <w:right w:val="none" w:sz="0" w:space="0" w:color="auto"/>
      </w:divBdr>
    </w:div>
    <w:div w:id="527989861">
      <w:bodyDiv w:val="1"/>
      <w:marLeft w:val="0"/>
      <w:marRight w:val="0"/>
      <w:marTop w:val="0"/>
      <w:marBottom w:val="0"/>
      <w:divBdr>
        <w:top w:val="none" w:sz="0" w:space="0" w:color="auto"/>
        <w:left w:val="none" w:sz="0" w:space="0" w:color="auto"/>
        <w:bottom w:val="none" w:sz="0" w:space="0" w:color="auto"/>
        <w:right w:val="none" w:sz="0" w:space="0" w:color="auto"/>
      </w:divBdr>
    </w:div>
    <w:div w:id="528687687">
      <w:bodyDiv w:val="1"/>
      <w:marLeft w:val="0"/>
      <w:marRight w:val="0"/>
      <w:marTop w:val="0"/>
      <w:marBottom w:val="0"/>
      <w:divBdr>
        <w:top w:val="none" w:sz="0" w:space="0" w:color="auto"/>
        <w:left w:val="none" w:sz="0" w:space="0" w:color="auto"/>
        <w:bottom w:val="none" w:sz="0" w:space="0" w:color="auto"/>
        <w:right w:val="none" w:sz="0" w:space="0" w:color="auto"/>
      </w:divBdr>
    </w:div>
    <w:div w:id="647250966">
      <w:bodyDiv w:val="1"/>
      <w:marLeft w:val="0"/>
      <w:marRight w:val="0"/>
      <w:marTop w:val="0"/>
      <w:marBottom w:val="0"/>
      <w:divBdr>
        <w:top w:val="none" w:sz="0" w:space="0" w:color="auto"/>
        <w:left w:val="none" w:sz="0" w:space="0" w:color="auto"/>
        <w:bottom w:val="none" w:sz="0" w:space="0" w:color="auto"/>
        <w:right w:val="none" w:sz="0" w:space="0" w:color="auto"/>
      </w:divBdr>
    </w:div>
    <w:div w:id="751009265">
      <w:bodyDiv w:val="1"/>
      <w:marLeft w:val="0"/>
      <w:marRight w:val="0"/>
      <w:marTop w:val="0"/>
      <w:marBottom w:val="0"/>
      <w:divBdr>
        <w:top w:val="none" w:sz="0" w:space="0" w:color="auto"/>
        <w:left w:val="none" w:sz="0" w:space="0" w:color="auto"/>
        <w:bottom w:val="none" w:sz="0" w:space="0" w:color="auto"/>
        <w:right w:val="none" w:sz="0" w:space="0" w:color="auto"/>
      </w:divBdr>
    </w:div>
    <w:div w:id="838348242">
      <w:bodyDiv w:val="1"/>
      <w:marLeft w:val="0"/>
      <w:marRight w:val="0"/>
      <w:marTop w:val="0"/>
      <w:marBottom w:val="0"/>
      <w:divBdr>
        <w:top w:val="none" w:sz="0" w:space="0" w:color="auto"/>
        <w:left w:val="none" w:sz="0" w:space="0" w:color="auto"/>
        <w:bottom w:val="none" w:sz="0" w:space="0" w:color="auto"/>
        <w:right w:val="none" w:sz="0" w:space="0" w:color="auto"/>
      </w:divBdr>
    </w:div>
    <w:div w:id="902059154">
      <w:bodyDiv w:val="1"/>
      <w:marLeft w:val="0"/>
      <w:marRight w:val="0"/>
      <w:marTop w:val="0"/>
      <w:marBottom w:val="0"/>
      <w:divBdr>
        <w:top w:val="none" w:sz="0" w:space="0" w:color="auto"/>
        <w:left w:val="none" w:sz="0" w:space="0" w:color="auto"/>
        <w:bottom w:val="none" w:sz="0" w:space="0" w:color="auto"/>
        <w:right w:val="none" w:sz="0" w:space="0" w:color="auto"/>
      </w:divBdr>
    </w:div>
    <w:div w:id="1061904399">
      <w:bodyDiv w:val="1"/>
      <w:marLeft w:val="0"/>
      <w:marRight w:val="0"/>
      <w:marTop w:val="0"/>
      <w:marBottom w:val="0"/>
      <w:divBdr>
        <w:top w:val="none" w:sz="0" w:space="0" w:color="auto"/>
        <w:left w:val="none" w:sz="0" w:space="0" w:color="auto"/>
        <w:bottom w:val="none" w:sz="0" w:space="0" w:color="auto"/>
        <w:right w:val="none" w:sz="0" w:space="0" w:color="auto"/>
      </w:divBdr>
    </w:div>
    <w:div w:id="1079907433">
      <w:bodyDiv w:val="1"/>
      <w:marLeft w:val="0"/>
      <w:marRight w:val="0"/>
      <w:marTop w:val="0"/>
      <w:marBottom w:val="0"/>
      <w:divBdr>
        <w:top w:val="none" w:sz="0" w:space="0" w:color="auto"/>
        <w:left w:val="none" w:sz="0" w:space="0" w:color="auto"/>
        <w:bottom w:val="none" w:sz="0" w:space="0" w:color="auto"/>
        <w:right w:val="none" w:sz="0" w:space="0" w:color="auto"/>
      </w:divBdr>
      <w:divsChild>
        <w:div w:id="593707716">
          <w:marLeft w:val="0"/>
          <w:marRight w:val="0"/>
          <w:marTop w:val="0"/>
          <w:marBottom w:val="0"/>
          <w:divBdr>
            <w:top w:val="none" w:sz="0" w:space="0" w:color="auto"/>
            <w:left w:val="none" w:sz="0" w:space="0" w:color="auto"/>
            <w:bottom w:val="none" w:sz="0" w:space="0" w:color="auto"/>
            <w:right w:val="none" w:sz="0" w:space="0" w:color="auto"/>
          </w:divBdr>
          <w:divsChild>
            <w:div w:id="1444574447">
              <w:marLeft w:val="0"/>
              <w:marRight w:val="0"/>
              <w:marTop w:val="0"/>
              <w:marBottom w:val="0"/>
              <w:divBdr>
                <w:top w:val="none" w:sz="0" w:space="0" w:color="auto"/>
                <w:left w:val="none" w:sz="0" w:space="0" w:color="auto"/>
                <w:bottom w:val="none" w:sz="0" w:space="0" w:color="auto"/>
                <w:right w:val="none" w:sz="0" w:space="0" w:color="auto"/>
              </w:divBdr>
              <w:divsChild>
                <w:div w:id="961808307">
                  <w:marLeft w:val="0"/>
                  <w:marRight w:val="0"/>
                  <w:marTop w:val="0"/>
                  <w:marBottom w:val="0"/>
                  <w:divBdr>
                    <w:top w:val="none" w:sz="0" w:space="0" w:color="auto"/>
                    <w:left w:val="none" w:sz="0" w:space="0" w:color="auto"/>
                    <w:bottom w:val="none" w:sz="0" w:space="0" w:color="auto"/>
                    <w:right w:val="none" w:sz="0" w:space="0" w:color="auto"/>
                  </w:divBdr>
                  <w:divsChild>
                    <w:div w:id="329529886">
                      <w:marLeft w:val="0"/>
                      <w:marRight w:val="0"/>
                      <w:marTop w:val="0"/>
                      <w:marBottom w:val="0"/>
                      <w:divBdr>
                        <w:top w:val="none" w:sz="0" w:space="0" w:color="auto"/>
                        <w:left w:val="none" w:sz="0" w:space="0" w:color="auto"/>
                        <w:bottom w:val="none" w:sz="0" w:space="0" w:color="auto"/>
                        <w:right w:val="none" w:sz="0" w:space="0" w:color="auto"/>
                      </w:divBdr>
                      <w:divsChild>
                        <w:div w:id="307973606">
                          <w:marLeft w:val="0"/>
                          <w:marRight w:val="0"/>
                          <w:marTop w:val="0"/>
                          <w:marBottom w:val="0"/>
                          <w:divBdr>
                            <w:top w:val="none" w:sz="0" w:space="0" w:color="auto"/>
                            <w:left w:val="none" w:sz="0" w:space="0" w:color="auto"/>
                            <w:bottom w:val="none" w:sz="0" w:space="0" w:color="auto"/>
                            <w:right w:val="none" w:sz="0" w:space="0" w:color="auto"/>
                          </w:divBdr>
                          <w:divsChild>
                            <w:div w:id="1987125928">
                              <w:marLeft w:val="0"/>
                              <w:marRight w:val="0"/>
                              <w:marTop w:val="0"/>
                              <w:marBottom w:val="0"/>
                              <w:divBdr>
                                <w:top w:val="none" w:sz="0" w:space="0" w:color="auto"/>
                                <w:left w:val="none" w:sz="0" w:space="0" w:color="auto"/>
                                <w:bottom w:val="none" w:sz="0" w:space="0" w:color="auto"/>
                                <w:right w:val="none" w:sz="0" w:space="0" w:color="auto"/>
                              </w:divBdr>
                              <w:divsChild>
                                <w:div w:id="10525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80901">
              <w:marLeft w:val="0"/>
              <w:marRight w:val="0"/>
              <w:marTop w:val="0"/>
              <w:marBottom w:val="0"/>
              <w:divBdr>
                <w:top w:val="none" w:sz="0" w:space="0" w:color="auto"/>
                <w:left w:val="none" w:sz="0" w:space="0" w:color="auto"/>
                <w:bottom w:val="none" w:sz="0" w:space="0" w:color="auto"/>
                <w:right w:val="none" w:sz="0" w:space="0" w:color="auto"/>
              </w:divBdr>
              <w:divsChild>
                <w:div w:id="311444181">
                  <w:marLeft w:val="0"/>
                  <w:marRight w:val="0"/>
                  <w:marTop w:val="0"/>
                  <w:marBottom w:val="0"/>
                  <w:divBdr>
                    <w:top w:val="none" w:sz="0" w:space="0" w:color="auto"/>
                    <w:left w:val="none" w:sz="0" w:space="0" w:color="auto"/>
                    <w:bottom w:val="none" w:sz="0" w:space="0" w:color="auto"/>
                    <w:right w:val="none" w:sz="0" w:space="0" w:color="auto"/>
                  </w:divBdr>
                  <w:divsChild>
                    <w:div w:id="2507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39619">
          <w:marLeft w:val="0"/>
          <w:marRight w:val="0"/>
          <w:marTop w:val="0"/>
          <w:marBottom w:val="0"/>
          <w:divBdr>
            <w:top w:val="none" w:sz="0" w:space="0" w:color="auto"/>
            <w:left w:val="none" w:sz="0" w:space="0" w:color="auto"/>
            <w:bottom w:val="none" w:sz="0" w:space="0" w:color="auto"/>
            <w:right w:val="none" w:sz="0" w:space="0" w:color="auto"/>
          </w:divBdr>
          <w:divsChild>
            <w:div w:id="638077487">
              <w:marLeft w:val="0"/>
              <w:marRight w:val="0"/>
              <w:marTop w:val="0"/>
              <w:marBottom w:val="0"/>
              <w:divBdr>
                <w:top w:val="none" w:sz="0" w:space="0" w:color="auto"/>
                <w:left w:val="none" w:sz="0" w:space="0" w:color="auto"/>
                <w:bottom w:val="none" w:sz="0" w:space="0" w:color="auto"/>
                <w:right w:val="none" w:sz="0" w:space="0" w:color="auto"/>
              </w:divBdr>
              <w:divsChild>
                <w:div w:id="1868062128">
                  <w:marLeft w:val="0"/>
                  <w:marRight w:val="0"/>
                  <w:marTop w:val="0"/>
                  <w:marBottom w:val="0"/>
                  <w:divBdr>
                    <w:top w:val="none" w:sz="0" w:space="0" w:color="auto"/>
                    <w:left w:val="none" w:sz="0" w:space="0" w:color="auto"/>
                    <w:bottom w:val="none" w:sz="0" w:space="0" w:color="auto"/>
                    <w:right w:val="none" w:sz="0" w:space="0" w:color="auto"/>
                  </w:divBdr>
                  <w:divsChild>
                    <w:div w:id="679549299">
                      <w:marLeft w:val="0"/>
                      <w:marRight w:val="0"/>
                      <w:marTop w:val="0"/>
                      <w:marBottom w:val="0"/>
                      <w:divBdr>
                        <w:top w:val="none" w:sz="0" w:space="0" w:color="auto"/>
                        <w:left w:val="none" w:sz="0" w:space="0" w:color="auto"/>
                        <w:bottom w:val="none" w:sz="0" w:space="0" w:color="auto"/>
                        <w:right w:val="none" w:sz="0" w:space="0" w:color="auto"/>
                      </w:divBdr>
                      <w:divsChild>
                        <w:div w:id="1388920610">
                          <w:marLeft w:val="0"/>
                          <w:marRight w:val="0"/>
                          <w:marTop w:val="0"/>
                          <w:marBottom w:val="0"/>
                          <w:divBdr>
                            <w:top w:val="none" w:sz="0" w:space="0" w:color="auto"/>
                            <w:left w:val="none" w:sz="0" w:space="0" w:color="auto"/>
                            <w:bottom w:val="none" w:sz="0" w:space="0" w:color="auto"/>
                            <w:right w:val="none" w:sz="0" w:space="0" w:color="auto"/>
                          </w:divBdr>
                          <w:divsChild>
                            <w:div w:id="1875922568">
                              <w:marLeft w:val="0"/>
                              <w:marRight w:val="0"/>
                              <w:marTop w:val="0"/>
                              <w:marBottom w:val="0"/>
                              <w:divBdr>
                                <w:top w:val="none" w:sz="0" w:space="0" w:color="auto"/>
                                <w:left w:val="none" w:sz="0" w:space="0" w:color="auto"/>
                                <w:bottom w:val="none" w:sz="0" w:space="0" w:color="auto"/>
                                <w:right w:val="none" w:sz="0" w:space="0" w:color="auto"/>
                              </w:divBdr>
                              <w:divsChild>
                                <w:div w:id="1964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988">
                  <w:marLeft w:val="0"/>
                  <w:marRight w:val="0"/>
                  <w:marTop w:val="0"/>
                  <w:marBottom w:val="0"/>
                  <w:divBdr>
                    <w:top w:val="none" w:sz="0" w:space="0" w:color="auto"/>
                    <w:left w:val="none" w:sz="0" w:space="0" w:color="auto"/>
                    <w:bottom w:val="none" w:sz="0" w:space="0" w:color="auto"/>
                    <w:right w:val="none" w:sz="0" w:space="0" w:color="auto"/>
                  </w:divBdr>
                  <w:divsChild>
                    <w:div w:id="774132009">
                      <w:marLeft w:val="0"/>
                      <w:marRight w:val="0"/>
                      <w:marTop w:val="0"/>
                      <w:marBottom w:val="0"/>
                      <w:divBdr>
                        <w:top w:val="none" w:sz="0" w:space="0" w:color="auto"/>
                        <w:left w:val="none" w:sz="0" w:space="0" w:color="auto"/>
                        <w:bottom w:val="none" w:sz="0" w:space="0" w:color="auto"/>
                        <w:right w:val="none" w:sz="0" w:space="0" w:color="auto"/>
                      </w:divBdr>
                      <w:divsChild>
                        <w:div w:id="1127046415">
                          <w:marLeft w:val="0"/>
                          <w:marRight w:val="0"/>
                          <w:marTop w:val="0"/>
                          <w:marBottom w:val="0"/>
                          <w:divBdr>
                            <w:top w:val="none" w:sz="0" w:space="0" w:color="auto"/>
                            <w:left w:val="none" w:sz="0" w:space="0" w:color="auto"/>
                            <w:bottom w:val="none" w:sz="0" w:space="0" w:color="auto"/>
                            <w:right w:val="none" w:sz="0" w:space="0" w:color="auto"/>
                          </w:divBdr>
                          <w:divsChild>
                            <w:div w:id="1425036812">
                              <w:marLeft w:val="0"/>
                              <w:marRight w:val="0"/>
                              <w:marTop w:val="0"/>
                              <w:marBottom w:val="0"/>
                              <w:divBdr>
                                <w:top w:val="none" w:sz="0" w:space="0" w:color="auto"/>
                                <w:left w:val="none" w:sz="0" w:space="0" w:color="auto"/>
                                <w:bottom w:val="none" w:sz="0" w:space="0" w:color="auto"/>
                                <w:right w:val="none" w:sz="0" w:space="0" w:color="auto"/>
                              </w:divBdr>
                              <w:divsChild>
                                <w:div w:id="557788542">
                                  <w:marLeft w:val="0"/>
                                  <w:marRight w:val="0"/>
                                  <w:marTop w:val="0"/>
                                  <w:marBottom w:val="0"/>
                                  <w:divBdr>
                                    <w:top w:val="none" w:sz="0" w:space="0" w:color="auto"/>
                                    <w:left w:val="none" w:sz="0" w:space="0" w:color="auto"/>
                                    <w:bottom w:val="none" w:sz="0" w:space="0" w:color="auto"/>
                                    <w:right w:val="none" w:sz="0" w:space="0" w:color="auto"/>
                                  </w:divBdr>
                                  <w:divsChild>
                                    <w:div w:id="13674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6936">
                              <w:marLeft w:val="0"/>
                              <w:marRight w:val="0"/>
                              <w:marTop w:val="0"/>
                              <w:marBottom w:val="0"/>
                              <w:divBdr>
                                <w:top w:val="none" w:sz="0" w:space="0" w:color="auto"/>
                                <w:left w:val="none" w:sz="0" w:space="0" w:color="auto"/>
                                <w:bottom w:val="none" w:sz="0" w:space="0" w:color="auto"/>
                                <w:right w:val="none" w:sz="0" w:space="0" w:color="auto"/>
                              </w:divBdr>
                              <w:divsChild>
                                <w:div w:id="2079089226">
                                  <w:marLeft w:val="0"/>
                                  <w:marRight w:val="0"/>
                                  <w:marTop w:val="0"/>
                                  <w:marBottom w:val="0"/>
                                  <w:divBdr>
                                    <w:top w:val="none" w:sz="0" w:space="0" w:color="auto"/>
                                    <w:left w:val="none" w:sz="0" w:space="0" w:color="auto"/>
                                    <w:bottom w:val="none" w:sz="0" w:space="0" w:color="auto"/>
                                    <w:right w:val="none" w:sz="0" w:space="0" w:color="auto"/>
                                  </w:divBdr>
                                  <w:divsChild>
                                    <w:div w:id="599992643">
                                      <w:marLeft w:val="0"/>
                                      <w:marRight w:val="0"/>
                                      <w:marTop w:val="0"/>
                                      <w:marBottom w:val="0"/>
                                      <w:divBdr>
                                        <w:top w:val="none" w:sz="0" w:space="0" w:color="auto"/>
                                        <w:left w:val="none" w:sz="0" w:space="0" w:color="auto"/>
                                        <w:bottom w:val="none" w:sz="0" w:space="0" w:color="auto"/>
                                        <w:right w:val="none" w:sz="0" w:space="0" w:color="auto"/>
                                      </w:divBdr>
                                      <w:divsChild>
                                        <w:div w:id="1495026420">
                                          <w:marLeft w:val="0"/>
                                          <w:marRight w:val="0"/>
                                          <w:marTop w:val="0"/>
                                          <w:marBottom w:val="0"/>
                                          <w:divBdr>
                                            <w:top w:val="none" w:sz="0" w:space="0" w:color="auto"/>
                                            <w:left w:val="none" w:sz="0" w:space="0" w:color="auto"/>
                                            <w:bottom w:val="none" w:sz="0" w:space="0" w:color="auto"/>
                                            <w:right w:val="none" w:sz="0" w:space="0" w:color="auto"/>
                                          </w:divBdr>
                                          <w:divsChild>
                                            <w:div w:id="977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176867">
      <w:bodyDiv w:val="1"/>
      <w:marLeft w:val="0"/>
      <w:marRight w:val="0"/>
      <w:marTop w:val="0"/>
      <w:marBottom w:val="0"/>
      <w:divBdr>
        <w:top w:val="none" w:sz="0" w:space="0" w:color="auto"/>
        <w:left w:val="none" w:sz="0" w:space="0" w:color="auto"/>
        <w:bottom w:val="none" w:sz="0" w:space="0" w:color="auto"/>
        <w:right w:val="none" w:sz="0" w:space="0" w:color="auto"/>
      </w:divBdr>
    </w:div>
    <w:div w:id="1196116654">
      <w:bodyDiv w:val="1"/>
      <w:marLeft w:val="0"/>
      <w:marRight w:val="0"/>
      <w:marTop w:val="0"/>
      <w:marBottom w:val="0"/>
      <w:divBdr>
        <w:top w:val="none" w:sz="0" w:space="0" w:color="auto"/>
        <w:left w:val="none" w:sz="0" w:space="0" w:color="auto"/>
        <w:bottom w:val="none" w:sz="0" w:space="0" w:color="auto"/>
        <w:right w:val="none" w:sz="0" w:space="0" w:color="auto"/>
      </w:divBdr>
    </w:div>
    <w:div w:id="1342901089">
      <w:bodyDiv w:val="1"/>
      <w:marLeft w:val="0"/>
      <w:marRight w:val="0"/>
      <w:marTop w:val="0"/>
      <w:marBottom w:val="0"/>
      <w:divBdr>
        <w:top w:val="none" w:sz="0" w:space="0" w:color="auto"/>
        <w:left w:val="none" w:sz="0" w:space="0" w:color="auto"/>
        <w:bottom w:val="none" w:sz="0" w:space="0" w:color="auto"/>
        <w:right w:val="none" w:sz="0" w:space="0" w:color="auto"/>
      </w:divBdr>
    </w:div>
    <w:div w:id="1534465218">
      <w:bodyDiv w:val="1"/>
      <w:marLeft w:val="0"/>
      <w:marRight w:val="0"/>
      <w:marTop w:val="0"/>
      <w:marBottom w:val="0"/>
      <w:divBdr>
        <w:top w:val="none" w:sz="0" w:space="0" w:color="auto"/>
        <w:left w:val="none" w:sz="0" w:space="0" w:color="auto"/>
        <w:bottom w:val="none" w:sz="0" w:space="0" w:color="auto"/>
        <w:right w:val="none" w:sz="0" w:space="0" w:color="auto"/>
      </w:divBdr>
    </w:div>
    <w:div w:id="1580168499">
      <w:bodyDiv w:val="1"/>
      <w:marLeft w:val="0"/>
      <w:marRight w:val="0"/>
      <w:marTop w:val="0"/>
      <w:marBottom w:val="0"/>
      <w:divBdr>
        <w:top w:val="none" w:sz="0" w:space="0" w:color="auto"/>
        <w:left w:val="none" w:sz="0" w:space="0" w:color="auto"/>
        <w:bottom w:val="none" w:sz="0" w:space="0" w:color="auto"/>
        <w:right w:val="none" w:sz="0" w:space="0" w:color="auto"/>
      </w:divBdr>
    </w:div>
    <w:div w:id="1878816969">
      <w:bodyDiv w:val="1"/>
      <w:marLeft w:val="0"/>
      <w:marRight w:val="0"/>
      <w:marTop w:val="0"/>
      <w:marBottom w:val="0"/>
      <w:divBdr>
        <w:top w:val="none" w:sz="0" w:space="0" w:color="auto"/>
        <w:left w:val="none" w:sz="0" w:space="0" w:color="auto"/>
        <w:bottom w:val="none" w:sz="0" w:space="0" w:color="auto"/>
        <w:right w:val="none" w:sz="0" w:space="0" w:color="auto"/>
      </w:divBdr>
    </w:div>
    <w:div w:id="1910336650">
      <w:bodyDiv w:val="1"/>
      <w:marLeft w:val="0"/>
      <w:marRight w:val="0"/>
      <w:marTop w:val="0"/>
      <w:marBottom w:val="0"/>
      <w:divBdr>
        <w:top w:val="none" w:sz="0" w:space="0" w:color="auto"/>
        <w:left w:val="none" w:sz="0" w:space="0" w:color="auto"/>
        <w:bottom w:val="none" w:sz="0" w:space="0" w:color="auto"/>
        <w:right w:val="none" w:sz="0" w:space="0" w:color="auto"/>
      </w:divBdr>
    </w:div>
    <w:div w:id="1941714049">
      <w:bodyDiv w:val="1"/>
      <w:marLeft w:val="0"/>
      <w:marRight w:val="0"/>
      <w:marTop w:val="0"/>
      <w:marBottom w:val="0"/>
      <w:divBdr>
        <w:top w:val="none" w:sz="0" w:space="0" w:color="auto"/>
        <w:left w:val="none" w:sz="0" w:space="0" w:color="auto"/>
        <w:bottom w:val="none" w:sz="0" w:space="0" w:color="auto"/>
        <w:right w:val="none" w:sz="0" w:space="0" w:color="auto"/>
      </w:divBdr>
    </w:div>
    <w:div w:id="1989169360">
      <w:bodyDiv w:val="1"/>
      <w:marLeft w:val="0"/>
      <w:marRight w:val="0"/>
      <w:marTop w:val="0"/>
      <w:marBottom w:val="0"/>
      <w:divBdr>
        <w:top w:val="none" w:sz="0" w:space="0" w:color="auto"/>
        <w:left w:val="none" w:sz="0" w:space="0" w:color="auto"/>
        <w:bottom w:val="none" w:sz="0" w:space="0" w:color="auto"/>
        <w:right w:val="none" w:sz="0" w:space="0" w:color="auto"/>
      </w:divBdr>
    </w:div>
    <w:div w:id="2107337528">
      <w:bodyDiv w:val="1"/>
      <w:marLeft w:val="0"/>
      <w:marRight w:val="0"/>
      <w:marTop w:val="0"/>
      <w:marBottom w:val="0"/>
      <w:divBdr>
        <w:top w:val="none" w:sz="0" w:space="0" w:color="auto"/>
        <w:left w:val="none" w:sz="0" w:space="0" w:color="auto"/>
        <w:bottom w:val="none" w:sz="0" w:space="0" w:color="auto"/>
        <w:right w:val="none" w:sz="0" w:space="0" w:color="auto"/>
      </w:divBdr>
    </w:div>
    <w:div w:id="211304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2893</Words>
  <Characters>16493</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Sichkar</dc:creator>
  <cp:lastModifiedBy>Maryna Sichkar</cp:lastModifiedBy>
  <cp:revision>2</cp:revision>
  <dcterms:created xsi:type="dcterms:W3CDTF">2026-05-27T08:28:00Z</dcterms:created>
  <dcterms:modified xsi:type="dcterms:W3CDTF">2026-05-27T08:28:00Z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