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7DFD6" w14:textId="77777777" w:rsidR="00B7229B" w:rsidRPr="000F6BA7" w:rsidRDefault="00B7229B" w:rsidP="000F6BA7">
      <w:pPr>
        <w:spacing w:before="280" w:after="280" w:line="240" w:lineRule="auto"/>
        <w:jc w:val="center"/>
        <w:rPr>
          <w:rFonts w:ascii="Times New Roman" w:hAnsi="Times New Roman" w:cs="Times New Roman"/>
          <w:b/>
          <w:bCs/>
          <w:sz w:val="24"/>
          <w:szCs w:val="24"/>
        </w:rPr>
      </w:pPr>
      <w:r w:rsidRPr="000F6BA7">
        <w:rPr>
          <w:rFonts w:ascii="Times New Roman" w:hAnsi="Times New Roman" w:cs="Times New Roman"/>
          <w:b/>
          <w:bCs/>
          <w:sz w:val="24"/>
          <w:szCs w:val="24"/>
        </w:rPr>
        <w:t>National Call for Proposals: Supporting Research on EU Accession in the Area of Anti-Corruption</w:t>
      </w:r>
    </w:p>
    <w:p w14:paraId="080BD0CB" w14:textId="13C3650A" w:rsidR="00DA3CB3" w:rsidRPr="000F6BA7" w:rsidRDefault="00DA3CB3" w:rsidP="000F6BA7">
      <w:pPr>
        <w:spacing w:before="280" w:after="280" w:line="240" w:lineRule="auto"/>
        <w:jc w:val="both"/>
        <w:rPr>
          <w:rFonts w:ascii="Times New Roman" w:eastAsia="Times New Roman" w:hAnsi="Times New Roman" w:cs="Times New Roman"/>
          <w:sz w:val="24"/>
          <w:szCs w:val="24"/>
        </w:rPr>
      </w:pPr>
      <w:r w:rsidRPr="000F6BA7">
        <w:rPr>
          <w:rFonts w:ascii="Times New Roman" w:eastAsia="Times New Roman" w:hAnsi="Times New Roman" w:cs="Times New Roman"/>
          <w:sz w:val="24"/>
          <w:szCs w:val="24"/>
          <w:lang w:val="en-GB"/>
        </w:rPr>
        <w:t>The EU Anti-corruption Initiative</w:t>
      </w:r>
      <w:r w:rsidR="00112F98" w:rsidRPr="000F6BA7">
        <w:rPr>
          <w:rFonts w:ascii="Times New Roman" w:eastAsia="Times New Roman" w:hAnsi="Times New Roman" w:cs="Times New Roman"/>
          <w:sz w:val="24"/>
          <w:szCs w:val="24"/>
          <w:lang w:val="en-GB"/>
        </w:rPr>
        <w:t xml:space="preserve"> (EUACI) is</w:t>
      </w:r>
      <w:r w:rsidRPr="000F6BA7">
        <w:rPr>
          <w:rFonts w:ascii="Times New Roman" w:eastAsia="Times New Roman" w:hAnsi="Times New Roman" w:cs="Times New Roman"/>
          <w:sz w:val="24"/>
          <w:szCs w:val="24"/>
          <w:lang w:val="en-GB"/>
        </w:rPr>
        <w:t xml:space="preserve"> </w:t>
      </w:r>
      <w:r w:rsidR="00112F98" w:rsidRPr="000F6BA7">
        <w:rPr>
          <w:rFonts w:ascii="Times New Roman" w:eastAsia="Times New Roman" w:hAnsi="Times New Roman" w:cs="Times New Roman"/>
          <w:sz w:val="24"/>
          <w:szCs w:val="24"/>
          <w:lang w:val="en-GB"/>
        </w:rPr>
        <w:t>p</w:t>
      </w:r>
      <w:r w:rsidRPr="000F6BA7">
        <w:rPr>
          <w:rFonts w:ascii="Times New Roman" w:eastAsia="Times New Roman" w:hAnsi="Times New Roman" w:cs="Times New Roman"/>
          <w:sz w:val="24"/>
          <w:szCs w:val="24"/>
          <w:lang w:val="en-GB"/>
        </w:rPr>
        <w:t xml:space="preserve">leased </w:t>
      </w:r>
      <w:r w:rsidRPr="000F6BA7">
        <w:rPr>
          <w:rFonts w:ascii="Times New Roman" w:eastAsia="Times New Roman" w:hAnsi="Times New Roman" w:cs="Times New Roman"/>
          <w:sz w:val="24"/>
          <w:szCs w:val="24"/>
        </w:rPr>
        <w:t xml:space="preserve">to announce a new call for proposals </w:t>
      </w:r>
      <w:r w:rsidRPr="000F6BA7">
        <w:rPr>
          <w:rFonts w:ascii="Times New Roman" w:eastAsia="Times New Roman" w:hAnsi="Times New Roman" w:cs="Times New Roman"/>
          <w:b/>
          <w:bCs/>
          <w:sz w:val="24"/>
          <w:szCs w:val="24"/>
        </w:rPr>
        <w:t xml:space="preserve">supporting </w:t>
      </w:r>
      <w:bookmarkStart w:id="0" w:name="_Hlk226114605"/>
      <w:r w:rsidRPr="000F6BA7">
        <w:rPr>
          <w:rFonts w:ascii="Times New Roman" w:eastAsia="Times New Roman" w:hAnsi="Times New Roman" w:cs="Times New Roman"/>
          <w:b/>
          <w:bCs/>
          <w:sz w:val="24"/>
          <w:szCs w:val="24"/>
        </w:rPr>
        <w:t xml:space="preserve">high-quality policy research, analytical studies, </w:t>
      </w:r>
      <w:r w:rsidRPr="000F6BA7">
        <w:rPr>
          <w:rFonts w:ascii="Times New Roman" w:eastAsia="Times New Roman" w:hAnsi="Times New Roman" w:cs="Times New Roman"/>
          <w:b/>
          <w:bCs/>
          <w:sz w:val="24"/>
          <w:szCs w:val="24"/>
          <w:lang w:val="en-GB"/>
        </w:rPr>
        <w:t xml:space="preserve">monitoring </w:t>
      </w:r>
      <w:r w:rsidRPr="000F6BA7">
        <w:rPr>
          <w:rFonts w:ascii="Times New Roman" w:eastAsia="Times New Roman" w:hAnsi="Times New Roman" w:cs="Times New Roman"/>
          <w:b/>
          <w:bCs/>
          <w:sz w:val="24"/>
          <w:szCs w:val="24"/>
        </w:rPr>
        <w:t>and evidence-based recommendations focused on anti-corruption reforms within the context of Ukraine’s accession to the European Union</w:t>
      </w:r>
      <w:bookmarkEnd w:id="0"/>
      <w:r w:rsidRPr="000F6BA7">
        <w:rPr>
          <w:rFonts w:ascii="Times New Roman" w:eastAsia="Times New Roman" w:hAnsi="Times New Roman" w:cs="Times New Roman"/>
          <w:b/>
          <w:bCs/>
          <w:sz w:val="24"/>
          <w:szCs w:val="24"/>
        </w:rPr>
        <w:t>.</w:t>
      </w:r>
      <w:r w:rsidRPr="000F6BA7">
        <w:rPr>
          <w:rFonts w:ascii="Times New Roman" w:eastAsia="Times New Roman" w:hAnsi="Times New Roman" w:cs="Times New Roman"/>
          <w:sz w:val="24"/>
          <w:szCs w:val="24"/>
        </w:rPr>
        <w:t xml:space="preserve"> This initiative aims to strengthen knowledge, inform policymaking, and contribute to transparent, accountable governance aligned with EU standards.</w:t>
      </w:r>
    </w:p>
    <w:p w14:paraId="13F5C8A5" w14:textId="305D2656" w:rsidR="00210235" w:rsidRPr="000F6BA7" w:rsidRDefault="00966067" w:rsidP="000F6BA7">
      <w:pPr>
        <w:spacing w:before="280" w:after="280" w:line="240" w:lineRule="auto"/>
        <w:jc w:val="both"/>
        <w:rPr>
          <w:rFonts w:ascii="Times New Roman" w:eastAsia="Times New Roman" w:hAnsi="Times New Roman" w:cs="Times New Roman"/>
          <w:sz w:val="24"/>
          <w:szCs w:val="24"/>
          <w:lang w:val="en-US"/>
        </w:rPr>
      </w:pPr>
      <w:r w:rsidRPr="000F6BA7">
        <w:rPr>
          <w:rFonts w:ascii="Times New Roman" w:eastAsia="Times New Roman" w:hAnsi="Times New Roman" w:cs="Times New Roman"/>
          <w:sz w:val="24"/>
          <w:szCs w:val="24"/>
        </w:rPr>
        <w:t>The EUACI is a collaborative initiative funded by the European Union and the Government of Denmark, with the aim of supporting Ukraine in its efforts to reduce corruption at both national and local levels. The new phase, launched in January 2024, focuses on key strategic objectives: reducing corruption in Ukraine, advancing anti</w:t>
      </w:r>
      <w:r w:rsidR="00B7229B" w:rsidRPr="000F6BA7">
        <w:rPr>
          <w:rFonts w:ascii="Times New Roman" w:eastAsia="Times New Roman" w:hAnsi="Times New Roman" w:cs="Times New Roman"/>
          <w:sz w:val="24"/>
          <w:szCs w:val="24"/>
          <w:lang w:val="en-GB"/>
        </w:rPr>
        <w:t>-</w:t>
      </w:r>
      <w:r w:rsidRPr="000F6BA7">
        <w:rPr>
          <w:rFonts w:ascii="Times New Roman" w:eastAsia="Times New Roman" w:hAnsi="Times New Roman" w:cs="Times New Roman"/>
          <w:sz w:val="24"/>
          <w:szCs w:val="24"/>
        </w:rPr>
        <w:t xml:space="preserve">corruption reforms, and implementing </w:t>
      </w:r>
      <w:r w:rsidRPr="000F6BA7">
        <w:rPr>
          <w:rFonts w:ascii="Times New Roman" w:eastAsia="Times New Roman" w:hAnsi="Times New Roman" w:cs="Times New Roman"/>
          <w:color w:val="000000" w:themeColor="text1"/>
          <w:sz w:val="24"/>
          <w:szCs w:val="24"/>
        </w:rPr>
        <w:t xml:space="preserve">reconstruction </w:t>
      </w:r>
      <w:r w:rsidRPr="000F6BA7">
        <w:rPr>
          <w:rFonts w:ascii="Times New Roman" w:eastAsia="Times New Roman" w:hAnsi="Times New Roman" w:cs="Times New Roman"/>
          <w:sz w:val="24"/>
          <w:szCs w:val="24"/>
        </w:rPr>
        <w:t>efforts in war-affected areas with a strong emphasis on transparency, accountability, and integrity.</w:t>
      </w:r>
    </w:p>
    <w:p w14:paraId="7A7A97B6" w14:textId="77777777" w:rsidR="00966067" w:rsidRPr="000F6BA7" w:rsidRDefault="00966067" w:rsidP="000F6BA7">
      <w:pPr>
        <w:spacing w:before="280" w:after="280" w:line="240" w:lineRule="auto"/>
        <w:jc w:val="both"/>
        <w:rPr>
          <w:rFonts w:ascii="Times New Roman" w:eastAsia="Times New Roman" w:hAnsi="Times New Roman" w:cs="Times New Roman"/>
          <w:sz w:val="24"/>
          <w:szCs w:val="24"/>
        </w:rPr>
      </w:pPr>
      <w:r w:rsidRPr="000F6BA7">
        <w:rPr>
          <w:rFonts w:ascii="Times New Roman" w:eastAsia="Times New Roman" w:hAnsi="Times New Roman" w:cs="Times New Roman"/>
          <w:b/>
          <w:sz w:val="24"/>
          <w:szCs w:val="24"/>
        </w:rPr>
        <w:t>The EUACI operates across four intervention areas:</w:t>
      </w:r>
    </w:p>
    <w:p w14:paraId="4C1B27EA" w14:textId="7F9BC47E" w:rsidR="00966067" w:rsidRPr="000F6BA7" w:rsidRDefault="00966067" w:rsidP="000F6BA7">
      <w:pPr>
        <w:numPr>
          <w:ilvl w:val="0"/>
          <w:numId w:val="10"/>
        </w:numPr>
        <w:spacing w:before="280" w:after="0" w:line="240" w:lineRule="auto"/>
        <w:jc w:val="both"/>
        <w:rPr>
          <w:rFonts w:ascii="Times New Roman" w:eastAsia="Times New Roman" w:hAnsi="Times New Roman" w:cs="Times New Roman"/>
          <w:sz w:val="24"/>
          <w:szCs w:val="24"/>
        </w:rPr>
      </w:pPr>
      <w:r w:rsidRPr="000F6BA7">
        <w:rPr>
          <w:rFonts w:ascii="Times New Roman" w:eastAsia="Times New Roman" w:hAnsi="Times New Roman" w:cs="Times New Roman"/>
          <w:sz w:val="24"/>
          <w:szCs w:val="24"/>
        </w:rPr>
        <w:t>Support to independent state institutions fighting and preventing corruption</w:t>
      </w:r>
      <w:r w:rsidR="0034019F" w:rsidRPr="000F6BA7">
        <w:rPr>
          <w:rFonts w:ascii="Times New Roman" w:eastAsia="Times New Roman" w:hAnsi="Times New Roman" w:cs="Times New Roman"/>
          <w:sz w:val="24"/>
          <w:szCs w:val="24"/>
          <w:lang w:val="en-GB"/>
        </w:rPr>
        <w:t>.</w:t>
      </w:r>
    </w:p>
    <w:p w14:paraId="48D70D28" w14:textId="15CE154E" w:rsidR="00966067" w:rsidRPr="000F6BA7" w:rsidRDefault="00966067" w:rsidP="000F6BA7">
      <w:pPr>
        <w:numPr>
          <w:ilvl w:val="0"/>
          <w:numId w:val="10"/>
        </w:numPr>
        <w:spacing w:after="0" w:line="240" w:lineRule="auto"/>
        <w:jc w:val="both"/>
        <w:rPr>
          <w:rFonts w:ascii="Times New Roman" w:eastAsia="Times New Roman" w:hAnsi="Times New Roman" w:cs="Times New Roman"/>
          <w:sz w:val="24"/>
          <w:szCs w:val="24"/>
        </w:rPr>
      </w:pPr>
      <w:r w:rsidRPr="000F6BA7">
        <w:rPr>
          <w:rFonts w:ascii="Times New Roman" w:eastAsia="Times New Roman" w:hAnsi="Times New Roman" w:cs="Times New Roman"/>
          <w:sz w:val="24"/>
          <w:szCs w:val="24"/>
        </w:rPr>
        <w:t>Transparency and accountability of the reconstruction process</w:t>
      </w:r>
      <w:r w:rsidR="0034019F" w:rsidRPr="000F6BA7">
        <w:rPr>
          <w:rFonts w:ascii="Times New Roman" w:eastAsia="Times New Roman" w:hAnsi="Times New Roman" w:cs="Times New Roman"/>
          <w:sz w:val="24"/>
          <w:szCs w:val="24"/>
          <w:lang w:val="en-GB"/>
        </w:rPr>
        <w:t>.</w:t>
      </w:r>
    </w:p>
    <w:p w14:paraId="7D208681" w14:textId="1E140ACF" w:rsidR="00966067" w:rsidRPr="000F6BA7" w:rsidRDefault="00966067" w:rsidP="000F6BA7">
      <w:pPr>
        <w:numPr>
          <w:ilvl w:val="0"/>
          <w:numId w:val="10"/>
        </w:numPr>
        <w:spacing w:after="0" w:line="240" w:lineRule="auto"/>
        <w:jc w:val="both"/>
        <w:rPr>
          <w:rFonts w:ascii="Times New Roman" w:eastAsia="Times New Roman" w:hAnsi="Times New Roman" w:cs="Times New Roman"/>
          <w:sz w:val="24"/>
          <w:szCs w:val="24"/>
        </w:rPr>
      </w:pPr>
      <w:r w:rsidRPr="000F6BA7">
        <w:rPr>
          <w:rFonts w:ascii="Times New Roman" w:eastAsia="Times New Roman" w:hAnsi="Times New Roman" w:cs="Times New Roman"/>
          <w:sz w:val="24"/>
          <w:szCs w:val="24"/>
        </w:rPr>
        <w:t>Support for cities in war-affected areas to enhance integrity in the reconstruction process</w:t>
      </w:r>
      <w:r w:rsidR="0034019F" w:rsidRPr="000F6BA7">
        <w:rPr>
          <w:rFonts w:ascii="Times New Roman" w:eastAsia="Times New Roman" w:hAnsi="Times New Roman" w:cs="Times New Roman"/>
          <w:sz w:val="24"/>
          <w:szCs w:val="24"/>
          <w:lang w:val="en-GB"/>
        </w:rPr>
        <w:t>.</w:t>
      </w:r>
    </w:p>
    <w:p w14:paraId="63D4EDEF" w14:textId="01EF66E4" w:rsidR="00966067" w:rsidRPr="000F6BA7" w:rsidRDefault="00966067" w:rsidP="000F6BA7">
      <w:pPr>
        <w:numPr>
          <w:ilvl w:val="0"/>
          <w:numId w:val="10"/>
        </w:numPr>
        <w:spacing w:after="280" w:line="240" w:lineRule="auto"/>
        <w:jc w:val="both"/>
        <w:rPr>
          <w:rFonts w:ascii="Times New Roman" w:eastAsia="Times New Roman" w:hAnsi="Times New Roman" w:cs="Times New Roman"/>
          <w:sz w:val="24"/>
          <w:szCs w:val="24"/>
        </w:rPr>
      </w:pPr>
      <w:r w:rsidRPr="000F6BA7">
        <w:rPr>
          <w:rFonts w:ascii="Times New Roman" w:eastAsia="Times New Roman" w:hAnsi="Times New Roman" w:cs="Times New Roman"/>
          <w:sz w:val="24"/>
          <w:szCs w:val="24"/>
        </w:rPr>
        <w:t>Civil society and media engagement in preventing and fighting corruption</w:t>
      </w:r>
      <w:r w:rsidR="0034019F" w:rsidRPr="000F6BA7">
        <w:rPr>
          <w:rFonts w:ascii="Times New Roman" w:eastAsia="Times New Roman" w:hAnsi="Times New Roman" w:cs="Times New Roman"/>
          <w:sz w:val="24"/>
          <w:szCs w:val="24"/>
          <w:lang w:val="en-GB"/>
        </w:rPr>
        <w:t>.</w:t>
      </w:r>
    </w:p>
    <w:p w14:paraId="1F6A0CCD" w14:textId="2A0EB0DB" w:rsidR="00A3220B" w:rsidRPr="000F6BA7" w:rsidRDefault="0026638C" w:rsidP="000F6BA7">
      <w:pPr>
        <w:spacing w:after="240" w:line="240" w:lineRule="auto"/>
        <w:jc w:val="both"/>
        <w:rPr>
          <w:rFonts w:ascii="Times New Roman" w:eastAsia="Times New Roman" w:hAnsi="Times New Roman" w:cs="Times New Roman"/>
          <w:b/>
          <w:sz w:val="24"/>
          <w:szCs w:val="24"/>
          <w:lang w:val="en-US" w:eastAsia="uk-UA"/>
        </w:rPr>
      </w:pPr>
      <w:r w:rsidRPr="000F6BA7">
        <w:rPr>
          <w:rFonts w:ascii="Times New Roman" w:eastAsia="Times New Roman" w:hAnsi="Times New Roman" w:cs="Times New Roman"/>
          <w:b/>
          <w:sz w:val="24"/>
          <w:szCs w:val="24"/>
          <w:lang w:val="en-US" w:eastAsia="uk-UA"/>
        </w:rPr>
        <w:t>National Call</w:t>
      </w:r>
      <w:r w:rsidRPr="000F6BA7">
        <w:rPr>
          <w:rFonts w:ascii="Times New Roman" w:eastAsia="Times New Roman" w:hAnsi="Times New Roman" w:cs="Times New Roman"/>
          <w:b/>
          <w:bCs/>
          <w:sz w:val="24"/>
          <w:szCs w:val="24"/>
          <w:lang w:val="en-GB"/>
        </w:rPr>
        <w:t xml:space="preserve"> </w:t>
      </w:r>
      <w:r w:rsidR="00112F98" w:rsidRPr="000F6BA7">
        <w:rPr>
          <w:rFonts w:ascii="Times New Roman" w:eastAsia="Times New Roman" w:hAnsi="Times New Roman" w:cs="Times New Roman"/>
          <w:b/>
          <w:bCs/>
          <w:sz w:val="24"/>
          <w:szCs w:val="24"/>
        </w:rPr>
        <w:t xml:space="preserve">for Supporting </w:t>
      </w:r>
      <w:r w:rsidR="00112F98" w:rsidRPr="000F6BA7">
        <w:rPr>
          <w:rFonts w:ascii="Times New Roman" w:eastAsia="Times New Roman" w:hAnsi="Times New Roman" w:cs="Times New Roman"/>
          <w:b/>
          <w:bCs/>
          <w:sz w:val="24"/>
          <w:szCs w:val="24"/>
          <w:lang w:val="en-GB"/>
        </w:rPr>
        <w:t>Research regarding EU accession in the area of anti</w:t>
      </w:r>
      <w:r w:rsidR="00B7229B" w:rsidRPr="000F6BA7">
        <w:rPr>
          <w:rFonts w:ascii="Times New Roman" w:eastAsia="Times New Roman" w:hAnsi="Times New Roman" w:cs="Times New Roman"/>
          <w:b/>
          <w:bCs/>
          <w:sz w:val="24"/>
          <w:szCs w:val="24"/>
          <w:lang w:val="en-GB"/>
        </w:rPr>
        <w:t>-</w:t>
      </w:r>
      <w:r w:rsidR="00112F98" w:rsidRPr="000F6BA7">
        <w:rPr>
          <w:rFonts w:ascii="Times New Roman" w:eastAsia="Times New Roman" w:hAnsi="Times New Roman" w:cs="Times New Roman"/>
          <w:b/>
          <w:bCs/>
          <w:sz w:val="24"/>
          <w:szCs w:val="24"/>
          <w:lang w:val="en-GB"/>
        </w:rPr>
        <w:t xml:space="preserve">corruption </w:t>
      </w:r>
      <w:r w:rsidR="00A3220B" w:rsidRPr="000F6BA7">
        <w:rPr>
          <w:rFonts w:ascii="Times New Roman" w:eastAsia="Times New Roman" w:hAnsi="Times New Roman" w:cs="Times New Roman"/>
          <w:bCs/>
          <w:sz w:val="24"/>
          <w:szCs w:val="24"/>
          <w:lang w:val="en-US" w:eastAsia="uk-UA"/>
        </w:rPr>
        <w:t>is announced under intervention area 4.</w:t>
      </w:r>
    </w:p>
    <w:p w14:paraId="0EBB4F0C" w14:textId="648EE998" w:rsidR="00210235" w:rsidRPr="000F6BA7" w:rsidRDefault="0065480F" w:rsidP="000F6BA7">
      <w:pPr>
        <w:spacing w:before="280" w:after="280" w:line="240" w:lineRule="auto"/>
        <w:jc w:val="both"/>
        <w:rPr>
          <w:rFonts w:ascii="Times New Roman" w:eastAsia="Times New Roman" w:hAnsi="Times New Roman" w:cs="Times New Roman"/>
          <w:b/>
          <w:bCs/>
          <w:sz w:val="24"/>
          <w:szCs w:val="24"/>
          <w:lang w:val="en-GB"/>
        </w:rPr>
      </w:pPr>
      <w:r w:rsidRPr="000F6BA7">
        <w:rPr>
          <w:rFonts w:ascii="Times New Roman" w:eastAsia="Times New Roman" w:hAnsi="Times New Roman" w:cs="Times New Roman"/>
          <w:b/>
          <w:bCs/>
          <w:sz w:val="24"/>
          <w:szCs w:val="24"/>
          <w:lang w:val="en-GB"/>
        </w:rPr>
        <w:t>1</w:t>
      </w:r>
      <w:r w:rsidR="00180151" w:rsidRPr="000F6BA7">
        <w:rPr>
          <w:rFonts w:ascii="Times New Roman" w:eastAsia="Times New Roman" w:hAnsi="Times New Roman" w:cs="Times New Roman"/>
          <w:b/>
          <w:bCs/>
          <w:sz w:val="24"/>
          <w:szCs w:val="24"/>
          <w:lang w:val="en-GB"/>
        </w:rPr>
        <w:t xml:space="preserve">. </w:t>
      </w:r>
      <w:r w:rsidR="002D59EC" w:rsidRPr="000F6BA7">
        <w:rPr>
          <w:rFonts w:ascii="Times New Roman" w:eastAsia="Times New Roman" w:hAnsi="Times New Roman" w:cs="Times New Roman"/>
          <w:b/>
          <w:bCs/>
          <w:sz w:val="24"/>
          <w:szCs w:val="24"/>
          <w:lang w:val="en-GB"/>
        </w:rPr>
        <w:t xml:space="preserve">Background on the grant competition </w:t>
      </w:r>
    </w:p>
    <w:p w14:paraId="01823F85" w14:textId="77777777" w:rsidR="00293124" w:rsidRPr="000F6BA7" w:rsidRDefault="00293124"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Following the granting of EU candidate status to Ukraine in June 2022 and the successful completion of the seven reform steps outlined by the European Commission, the European Council decided in December 2023 to open accession negotiations with Ukraine.</w:t>
      </w:r>
    </w:p>
    <w:p w14:paraId="7CCB7042" w14:textId="77777777" w:rsidR="00293124" w:rsidRPr="000F6BA7" w:rsidRDefault="00293124"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Ukraine is currently engaged in an active negotiation process structured around the 35 chapters of the EU acquis. Within this framework, </w:t>
      </w:r>
      <w:r w:rsidRPr="000F6BA7">
        <w:rPr>
          <w:rFonts w:ascii="Times New Roman" w:hAnsi="Times New Roman" w:cs="Times New Roman"/>
          <w:b/>
          <w:bCs/>
          <w:sz w:val="24"/>
          <w:szCs w:val="24"/>
          <w:lang w:val="en-GB"/>
        </w:rPr>
        <w:t>Chapter 23: Judiciary and Fundamental Rights</w:t>
      </w:r>
      <w:r w:rsidRPr="000F6BA7">
        <w:rPr>
          <w:rFonts w:ascii="Times New Roman" w:hAnsi="Times New Roman" w:cs="Times New Roman"/>
          <w:sz w:val="24"/>
          <w:szCs w:val="24"/>
          <w:lang w:val="en-GB"/>
        </w:rPr>
        <w:t xml:space="preserve"> and </w:t>
      </w:r>
      <w:r w:rsidRPr="000F6BA7">
        <w:rPr>
          <w:rFonts w:ascii="Times New Roman" w:hAnsi="Times New Roman" w:cs="Times New Roman"/>
          <w:b/>
          <w:bCs/>
          <w:sz w:val="24"/>
          <w:szCs w:val="24"/>
          <w:lang w:val="en-GB"/>
        </w:rPr>
        <w:t>Chapter 24: Justice, Freedom and Security</w:t>
      </w:r>
      <w:r w:rsidRPr="000F6BA7">
        <w:rPr>
          <w:rFonts w:ascii="Times New Roman" w:hAnsi="Times New Roman" w:cs="Times New Roman"/>
          <w:sz w:val="24"/>
          <w:szCs w:val="24"/>
          <w:lang w:val="en-GB"/>
        </w:rPr>
        <w:t xml:space="preserve"> are of particular importance, as they encompass core rule of law and anti-corruption requirements.</w:t>
      </w:r>
    </w:p>
    <w:p w14:paraId="239E94DB" w14:textId="05783CAE" w:rsidR="00293124" w:rsidRPr="000F6BA7" w:rsidRDefault="00293124"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Chapter 23 includes a dedicated focus on </w:t>
      </w:r>
      <w:r w:rsidR="007764F9" w:rsidRPr="000F6BA7">
        <w:rPr>
          <w:rFonts w:ascii="Times New Roman" w:hAnsi="Times New Roman" w:cs="Times New Roman"/>
          <w:sz w:val="24"/>
          <w:szCs w:val="24"/>
          <w:lang w:val="en-GB"/>
        </w:rPr>
        <w:t>the fight against corruption</w:t>
      </w:r>
      <w:r w:rsidRPr="000F6BA7">
        <w:rPr>
          <w:rFonts w:ascii="Times New Roman" w:hAnsi="Times New Roman" w:cs="Times New Roman"/>
          <w:sz w:val="24"/>
          <w:szCs w:val="24"/>
          <w:lang w:val="en-GB"/>
        </w:rPr>
        <w:t xml:space="preserve">. Furthermore, the Negotiating Framework for Ukraine emphasizes the </w:t>
      </w:r>
      <w:r w:rsidRPr="000F6BA7">
        <w:rPr>
          <w:rFonts w:ascii="Times New Roman" w:hAnsi="Times New Roman" w:cs="Times New Roman"/>
          <w:b/>
          <w:bCs/>
          <w:sz w:val="24"/>
          <w:szCs w:val="24"/>
          <w:lang w:val="en-GB"/>
        </w:rPr>
        <w:t xml:space="preserve">mainstreaming of anti-corruption </w:t>
      </w:r>
      <w:r w:rsidR="007764F9" w:rsidRPr="000F6BA7">
        <w:rPr>
          <w:rFonts w:ascii="Times New Roman" w:hAnsi="Times New Roman" w:cs="Times New Roman"/>
          <w:b/>
          <w:bCs/>
          <w:sz w:val="24"/>
          <w:szCs w:val="24"/>
          <w:lang w:val="en-GB"/>
        </w:rPr>
        <w:t xml:space="preserve">policies </w:t>
      </w:r>
      <w:r w:rsidRPr="000F6BA7">
        <w:rPr>
          <w:rFonts w:ascii="Times New Roman" w:hAnsi="Times New Roman" w:cs="Times New Roman"/>
          <w:b/>
          <w:bCs/>
          <w:sz w:val="24"/>
          <w:szCs w:val="24"/>
          <w:lang w:val="en-GB"/>
        </w:rPr>
        <w:t xml:space="preserve">across all relevant </w:t>
      </w:r>
      <w:r w:rsidR="007764F9" w:rsidRPr="000F6BA7">
        <w:rPr>
          <w:rFonts w:ascii="Times New Roman" w:hAnsi="Times New Roman" w:cs="Times New Roman"/>
          <w:b/>
          <w:bCs/>
          <w:sz w:val="24"/>
          <w:szCs w:val="24"/>
          <w:lang w:val="en-GB"/>
        </w:rPr>
        <w:t xml:space="preserve">negotiating </w:t>
      </w:r>
      <w:r w:rsidRPr="000F6BA7">
        <w:rPr>
          <w:rFonts w:ascii="Times New Roman" w:hAnsi="Times New Roman" w:cs="Times New Roman"/>
          <w:b/>
          <w:bCs/>
          <w:sz w:val="24"/>
          <w:szCs w:val="24"/>
          <w:lang w:val="en-GB"/>
        </w:rPr>
        <w:t>chapters</w:t>
      </w:r>
      <w:r w:rsidRPr="000F6BA7">
        <w:rPr>
          <w:rFonts w:ascii="Times New Roman" w:hAnsi="Times New Roman" w:cs="Times New Roman"/>
          <w:sz w:val="24"/>
          <w:szCs w:val="24"/>
          <w:lang w:val="en-GB"/>
        </w:rPr>
        <w:t>, establishing that no chapter may be provisionally closed until sufficient anti-corruption policies have been implemented.</w:t>
      </w:r>
    </w:p>
    <w:p w14:paraId="15C164C3" w14:textId="77777777" w:rsidR="00293124" w:rsidRPr="000F6BA7" w:rsidRDefault="00293124"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EU accession requirements in this area are closely aligned with key elements of the EU acquis, including:</w:t>
      </w:r>
    </w:p>
    <w:p w14:paraId="37434017" w14:textId="064EF496" w:rsidR="00293124" w:rsidRPr="000F6BA7" w:rsidRDefault="00293124" w:rsidP="000F6BA7">
      <w:pPr>
        <w:numPr>
          <w:ilvl w:val="0"/>
          <w:numId w:val="31"/>
        </w:num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Directive (EU) 2019/1937 on the protection of </w:t>
      </w:r>
      <w:r w:rsidR="00AA6D44" w:rsidRPr="000F6BA7">
        <w:rPr>
          <w:rFonts w:ascii="Times New Roman" w:hAnsi="Times New Roman" w:cs="Times New Roman"/>
          <w:sz w:val="24"/>
          <w:szCs w:val="24"/>
          <w:lang w:val="en-GB"/>
        </w:rPr>
        <w:t>whistle-blowers</w:t>
      </w:r>
      <w:r w:rsidRPr="000F6BA7">
        <w:rPr>
          <w:rFonts w:ascii="Times New Roman" w:hAnsi="Times New Roman" w:cs="Times New Roman"/>
          <w:sz w:val="24"/>
          <w:szCs w:val="24"/>
          <w:lang w:val="en-GB"/>
        </w:rPr>
        <w:t>, which sets standards for reporting and protecting individuals who expose corruption and misconduct</w:t>
      </w:r>
      <w:r w:rsidR="00AA6D44" w:rsidRPr="000F6BA7">
        <w:rPr>
          <w:rFonts w:ascii="Times New Roman" w:hAnsi="Times New Roman" w:cs="Times New Roman"/>
          <w:sz w:val="24"/>
          <w:szCs w:val="24"/>
          <w:lang w:val="en-GB"/>
        </w:rPr>
        <w:t>.</w:t>
      </w:r>
    </w:p>
    <w:p w14:paraId="54235EA1" w14:textId="5B7FB73B" w:rsidR="00AA6D44" w:rsidRPr="000F6BA7" w:rsidRDefault="00293124" w:rsidP="000F6BA7">
      <w:pPr>
        <w:numPr>
          <w:ilvl w:val="0"/>
          <w:numId w:val="31"/>
        </w:num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lastRenderedPageBreak/>
        <w:t>Directive (EU) 20</w:t>
      </w:r>
      <w:r w:rsidR="007764F9" w:rsidRPr="000F6BA7">
        <w:rPr>
          <w:rFonts w:ascii="Times New Roman" w:hAnsi="Times New Roman" w:cs="Times New Roman"/>
          <w:sz w:val="24"/>
          <w:szCs w:val="24"/>
          <w:lang w:val="en-GB"/>
        </w:rPr>
        <w:t>2</w:t>
      </w:r>
      <w:r w:rsidRPr="000F6BA7">
        <w:rPr>
          <w:rFonts w:ascii="Times New Roman" w:hAnsi="Times New Roman" w:cs="Times New Roman"/>
          <w:sz w:val="24"/>
          <w:szCs w:val="24"/>
          <w:lang w:val="en-GB"/>
        </w:rPr>
        <w:t>4/</w:t>
      </w:r>
      <w:r w:rsidR="007764F9" w:rsidRPr="000F6BA7">
        <w:rPr>
          <w:rFonts w:ascii="Times New Roman" w:hAnsi="Times New Roman" w:cs="Times New Roman"/>
          <w:sz w:val="24"/>
          <w:szCs w:val="24"/>
          <w:lang w:val="en-GB"/>
        </w:rPr>
        <w:t>1260</w:t>
      </w:r>
      <w:r w:rsidRPr="000F6BA7">
        <w:rPr>
          <w:rFonts w:ascii="Times New Roman" w:hAnsi="Times New Roman" w:cs="Times New Roman"/>
          <w:sz w:val="24"/>
          <w:szCs w:val="24"/>
          <w:lang w:val="en-GB"/>
        </w:rPr>
        <w:t xml:space="preserve"> on </w:t>
      </w:r>
      <w:r w:rsidR="007764F9" w:rsidRPr="000F6BA7">
        <w:rPr>
          <w:rFonts w:ascii="Times New Roman" w:hAnsi="Times New Roman" w:cs="Times New Roman"/>
          <w:sz w:val="24"/>
          <w:szCs w:val="24"/>
          <w:lang w:val="en-GB"/>
        </w:rPr>
        <w:t>asset recovery and confiscation</w:t>
      </w:r>
      <w:r w:rsidRPr="000F6BA7">
        <w:rPr>
          <w:rFonts w:ascii="Times New Roman" w:hAnsi="Times New Roman" w:cs="Times New Roman"/>
          <w:sz w:val="24"/>
          <w:szCs w:val="24"/>
          <w:lang w:val="en-GB"/>
        </w:rPr>
        <w:t>, which strengthens frameworks for asset tracing, freezing, and confiscation</w:t>
      </w:r>
      <w:r w:rsidR="007764F9" w:rsidRPr="000F6BA7">
        <w:rPr>
          <w:rFonts w:ascii="Times New Roman" w:hAnsi="Times New Roman" w:cs="Times New Roman"/>
          <w:sz w:val="24"/>
          <w:szCs w:val="24"/>
          <w:lang w:val="en-GB"/>
        </w:rPr>
        <w:t xml:space="preserve"> of criminal proceeds and instrumentalities</w:t>
      </w:r>
      <w:r w:rsidR="00AA6D44" w:rsidRPr="000F6BA7">
        <w:rPr>
          <w:rFonts w:ascii="Times New Roman" w:hAnsi="Times New Roman" w:cs="Times New Roman"/>
          <w:sz w:val="24"/>
          <w:szCs w:val="24"/>
          <w:lang w:val="en-GB"/>
        </w:rPr>
        <w:t>.</w:t>
      </w:r>
    </w:p>
    <w:p w14:paraId="29FE957D" w14:textId="018C3897" w:rsidR="00293124" w:rsidRPr="000F6BA7" w:rsidRDefault="00AA6D44" w:rsidP="000F6BA7">
      <w:pPr>
        <w:numPr>
          <w:ilvl w:val="0"/>
          <w:numId w:val="31"/>
        </w:num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T</w:t>
      </w:r>
      <w:r w:rsidRPr="000F6BA7">
        <w:rPr>
          <w:rFonts w:ascii="Times New Roman" w:hAnsi="Times New Roman" w:cs="Times New Roman"/>
          <w:sz w:val="24"/>
          <w:szCs w:val="24"/>
        </w:rPr>
        <w:t>he proposed Directive of the European Parliament and of the Council on combating corruption (COM</w:t>
      </w:r>
      <w:r w:rsidR="0065560B">
        <w:rPr>
          <w:rFonts w:ascii="Times New Roman" w:hAnsi="Times New Roman" w:cs="Times New Roman"/>
          <w:sz w:val="24"/>
          <w:szCs w:val="24"/>
          <w:lang w:val="en-GB"/>
        </w:rPr>
        <w:t xml:space="preserve"> </w:t>
      </w:r>
      <w:r w:rsidRPr="000F6BA7">
        <w:rPr>
          <w:rFonts w:ascii="Times New Roman" w:hAnsi="Times New Roman" w:cs="Times New Roman"/>
          <w:sz w:val="24"/>
          <w:szCs w:val="24"/>
        </w:rPr>
        <w:t>(2023) 234 final)</w:t>
      </w:r>
      <w:r w:rsidRPr="000F6BA7">
        <w:rPr>
          <w:rFonts w:ascii="Times New Roman" w:hAnsi="Times New Roman" w:cs="Times New Roman"/>
          <w:sz w:val="24"/>
          <w:szCs w:val="24"/>
          <w:lang w:val="en-GB"/>
        </w:rPr>
        <w:t xml:space="preserve"> (so-called Anti</w:t>
      </w:r>
      <w:r w:rsidR="00B7229B" w:rsidRPr="000F6BA7">
        <w:rPr>
          <w:rFonts w:ascii="Times New Roman" w:hAnsi="Times New Roman" w:cs="Times New Roman"/>
          <w:sz w:val="24"/>
          <w:szCs w:val="24"/>
          <w:lang w:val="en-GB"/>
        </w:rPr>
        <w:t>-</w:t>
      </w:r>
      <w:r w:rsidRPr="000F6BA7">
        <w:rPr>
          <w:rFonts w:ascii="Times New Roman" w:hAnsi="Times New Roman" w:cs="Times New Roman"/>
          <w:sz w:val="24"/>
          <w:szCs w:val="24"/>
          <w:lang w:val="en-GB"/>
        </w:rPr>
        <w:t xml:space="preserve">corruption Directive) which is </w:t>
      </w:r>
      <w:r w:rsidR="007764F9" w:rsidRPr="000F6BA7">
        <w:rPr>
          <w:rFonts w:ascii="Times New Roman" w:hAnsi="Times New Roman" w:cs="Times New Roman"/>
          <w:sz w:val="24"/>
          <w:szCs w:val="24"/>
          <w:lang w:val="en-GB"/>
        </w:rPr>
        <w:t>in the process of adoption</w:t>
      </w:r>
      <w:r w:rsidRPr="000F6BA7">
        <w:rPr>
          <w:rFonts w:ascii="Times New Roman" w:hAnsi="Times New Roman" w:cs="Times New Roman"/>
          <w:sz w:val="24"/>
          <w:szCs w:val="24"/>
          <w:lang w:val="en-GB"/>
        </w:rPr>
        <w:t>.</w:t>
      </w:r>
      <w:r w:rsidR="00293124" w:rsidRPr="000F6BA7">
        <w:rPr>
          <w:rFonts w:ascii="Times New Roman" w:hAnsi="Times New Roman" w:cs="Times New Roman"/>
          <w:sz w:val="24"/>
          <w:szCs w:val="24"/>
          <w:lang w:val="en-GB"/>
        </w:rPr>
        <w:t xml:space="preserve"> </w:t>
      </w:r>
    </w:p>
    <w:p w14:paraId="26B99BCD" w14:textId="2F32EFCE" w:rsidR="00293124" w:rsidRPr="000F6BA7" w:rsidRDefault="00293124" w:rsidP="000F6BA7">
      <w:pPr>
        <w:numPr>
          <w:ilvl w:val="0"/>
          <w:numId w:val="31"/>
        </w:num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Broader EU legislation and standards on public procurement transparency, financial control, and prevention of fraud and corruption</w:t>
      </w:r>
      <w:r w:rsidR="00AA6D44" w:rsidRPr="000F6BA7">
        <w:rPr>
          <w:rFonts w:ascii="Times New Roman" w:hAnsi="Times New Roman" w:cs="Times New Roman"/>
          <w:sz w:val="24"/>
          <w:szCs w:val="24"/>
          <w:lang w:val="en-GB"/>
        </w:rPr>
        <w:t>.</w:t>
      </w:r>
    </w:p>
    <w:p w14:paraId="399AD493" w14:textId="026D2BBC" w:rsidR="00293124" w:rsidRPr="000F6BA7" w:rsidRDefault="00293124"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In </w:t>
      </w:r>
      <w:r w:rsidR="00664901" w:rsidRPr="000F6BA7">
        <w:rPr>
          <w:rFonts w:ascii="Times New Roman" w:hAnsi="Times New Roman" w:cs="Times New Roman"/>
          <w:sz w:val="24"/>
          <w:szCs w:val="24"/>
          <w:lang w:val="en-GB"/>
        </w:rPr>
        <w:t>May 2025</w:t>
      </w:r>
      <w:r w:rsidRPr="000F6BA7">
        <w:rPr>
          <w:rFonts w:ascii="Times New Roman" w:hAnsi="Times New Roman" w:cs="Times New Roman"/>
          <w:sz w:val="24"/>
          <w:szCs w:val="24"/>
          <w:lang w:val="en-GB"/>
        </w:rPr>
        <w:t xml:space="preserve">, the Government of Ukraine has adopted a </w:t>
      </w:r>
      <w:hyperlink r:id="rId7" w:history="1">
        <w:r w:rsidRPr="000F6BA7">
          <w:rPr>
            <w:rStyle w:val="Hyperlink"/>
            <w:rFonts w:ascii="Times New Roman" w:hAnsi="Times New Roman" w:cs="Times New Roman"/>
            <w:b/>
            <w:bCs/>
            <w:sz w:val="24"/>
            <w:szCs w:val="24"/>
            <w:lang w:val="en-GB"/>
          </w:rPr>
          <w:t>Rule of La</w:t>
        </w:r>
        <w:r w:rsidRPr="000F6BA7">
          <w:rPr>
            <w:rStyle w:val="Hyperlink"/>
            <w:rFonts w:ascii="Times New Roman" w:hAnsi="Times New Roman" w:cs="Times New Roman"/>
            <w:b/>
            <w:bCs/>
            <w:sz w:val="24"/>
            <w:szCs w:val="24"/>
            <w:lang w:val="en-GB"/>
          </w:rPr>
          <w:t>w Roadmap</w:t>
        </w:r>
      </w:hyperlink>
      <w:r w:rsidRPr="000F6BA7">
        <w:rPr>
          <w:rFonts w:ascii="Times New Roman" w:hAnsi="Times New Roman" w:cs="Times New Roman"/>
          <w:sz w:val="24"/>
          <w:szCs w:val="24"/>
          <w:lang w:val="en-GB"/>
        </w:rPr>
        <w:t>, outlining a comprehensive sequence of reforms aimed at strengthening judicial independence, enhancing the effectiveness of anti-corruption institutions, and ensuring alignment with EU standards.</w:t>
      </w:r>
    </w:p>
    <w:p w14:paraId="03D9E1B9" w14:textId="77777777" w:rsidR="00293124" w:rsidRPr="000F6BA7" w:rsidRDefault="00293124"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In December 2025, Ukraine and the European Union further agreed on a targeted </w:t>
      </w:r>
      <w:r w:rsidRPr="000F6BA7">
        <w:rPr>
          <w:rFonts w:ascii="Times New Roman" w:hAnsi="Times New Roman" w:cs="Times New Roman"/>
          <w:b/>
          <w:bCs/>
          <w:sz w:val="24"/>
          <w:szCs w:val="24"/>
          <w:lang w:val="en-GB"/>
        </w:rPr>
        <w:t>10-point reform plan (“</w:t>
      </w:r>
      <w:proofErr w:type="spellStart"/>
      <w:r w:rsidRPr="000F6BA7">
        <w:rPr>
          <w:rFonts w:ascii="Times New Roman" w:hAnsi="Times New Roman" w:cs="Times New Roman"/>
          <w:b/>
          <w:bCs/>
          <w:sz w:val="24"/>
          <w:szCs w:val="24"/>
          <w:lang w:val="en-GB"/>
        </w:rPr>
        <w:t>Kachka</w:t>
      </w:r>
      <w:proofErr w:type="spellEnd"/>
      <w:r w:rsidRPr="000F6BA7">
        <w:rPr>
          <w:rFonts w:ascii="Times New Roman" w:hAnsi="Times New Roman" w:cs="Times New Roman"/>
          <w:b/>
          <w:bCs/>
          <w:sz w:val="24"/>
          <w:szCs w:val="24"/>
          <w:lang w:val="en-GB"/>
        </w:rPr>
        <w:t>–Kos 10 Points”)</w:t>
      </w:r>
      <w:r w:rsidRPr="000F6BA7">
        <w:rPr>
          <w:rFonts w:ascii="Times New Roman" w:hAnsi="Times New Roman" w:cs="Times New Roman"/>
          <w:sz w:val="24"/>
          <w:szCs w:val="24"/>
          <w:lang w:val="en-GB"/>
        </w:rPr>
        <w:t>, prioritizing urgent and high-impact measures in the areas of anti-corruption and the rule of law for implementation throughout 2026.</w:t>
      </w:r>
    </w:p>
    <w:p w14:paraId="58B53346" w14:textId="45124A97" w:rsidR="00293124" w:rsidRPr="000F6BA7" w:rsidRDefault="00293124"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As part of the ongoing accession process, Ukraine has also received a detailed set of </w:t>
      </w:r>
      <w:r w:rsidRPr="000F6BA7">
        <w:rPr>
          <w:rFonts w:ascii="Times New Roman" w:hAnsi="Times New Roman" w:cs="Times New Roman"/>
          <w:b/>
          <w:bCs/>
          <w:sz w:val="24"/>
          <w:szCs w:val="24"/>
          <w:lang w:val="en-GB"/>
        </w:rPr>
        <w:t>benchmarks negotiation chapters</w:t>
      </w:r>
      <w:r w:rsidRPr="000F6BA7">
        <w:rPr>
          <w:rFonts w:ascii="Times New Roman" w:hAnsi="Times New Roman" w:cs="Times New Roman"/>
          <w:sz w:val="24"/>
          <w:szCs w:val="24"/>
          <w:lang w:val="en-GB"/>
        </w:rPr>
        <w:t xml:space="preserve">, including </w:t>
      </w:r>
      <w:r w:rsidR="00A1461D" w:rsidRPr="000F6BA7">
        <w:rPr>
          <w:rFonts w:ascii="Times New Roman" w:hAnsi="Times New Roman" w:cs="Times New Roman"/>
          <w:sz w:val="24"/>
          <w:szCs w:val="24"/>
          <w:lang w:val="en-GB"/>
        </w:rPr>
        <w:t xml:space="preserve">interim benchmarks for </w:t>
      </w:r>
      <w:r w:rsidRPr="000F6BA7">
        <w:rPr>
          <w:rFonts w:ascii="Times New Roman" w:hAnsi="Times New Roman" w:cs="Times New Roman"/>
          <w:sz w:val="24"/>
          <w:szCs w:val="24"/>
          <w:lang w:val="en-GB"/>
        </w:rPr>
        <w:t xml:space="preserve">Chapters 23 and 24. These benchmarks serve as concrete conditions </w:t>
      </w:r>
      <w:r w:rsidR="00A1461D" w:rsidRPr="000F6BA7">
        <w:rPr>
          <w:rFonts w:ascii="Times New Roman" w:hAnsi="Times New Roman" w:cs="Times New Roman"/>
          <w:sz w:val="24"/>
          <w:szCs w:val="24"/>
          <w:lang w:val="en-GB"/>
        </w:rPr>
        <w:t>to be met for EU membership</w:t>
      </w:r>
      <w:r w:rsidRPr="000F6BA7">
        <w:rPr>
          <w:rFonts w:ascii="Times New Roman" w:hAnsi="Times New Roman" w:cs="Times New Roman"/>
          <w:sz w:val="24"/>
          <w:szCs w:val="24"/>
          <w:lang w:val="en-GB"/>
        </w:rPr>
        <w:t>.</w:t>
      </w:r>
    </w:p>
    <w:p w14:paraId="41F5A73E" w14:textId="5B56B680" w:rsidR="00FB1062" w:rsidRPr="000F6BA7" w:rsidRDefault="00293124" w:rsidP="000F6BA7">
      <w:pPr>
        <w:spacing w:after="200" w:line="240" w:lineRule="auto"/>
        <w:jc w:val="both"/>
        <w:rPr>
          <w:rFonts w:ascii="Times New Roman" w:hAnsi="Times New Roman" w:cs="Times New Roman"/>
          <w:sz w:val="24"/>
          <w:szCs w:val="24"/>
          <w:lang w:val="en-US"/>
        </w:rPr>
      </w:pPr>
      <w:r w:rsidRPr="000F6BA7">
        <w:rPr>
          <w:rFonts w:ascii="Times New Roman" w:hAnsi="Times New Roman" w:cs="Times New Roman"/>
          <w:sz w:val="24"/>
          <w:szCs w:val="24"/>
          <w:lang w:val="en-GB"/>
        </w:rPr>
        <w:t>T</w:t>
      </w:r>
      <w:r w:rsidR="00FB1062" w:rsidRPr="000F6BA7">
        <w:rPr>
          <w:rFonts w:ascii="Times New Roman" w:hAnsi="Times New Roman" w:cs="Times New Roman"/>
          <w:sz w:val="24"/>
          <w:szCs w:val="24"/>
          <w:lang w:val="en-US"/>
        </w:rPr>
        <w:t xml:space="preserve">he </w:t>
      </w:r>
      <w:r w:rsidR="00FE6AFC" w:rsidRPr="000F6BA7">
        <w:rPr>
          <w:rFonts w:ascii="Times New Roman" w:hAnsi="Times New Roman" w:cs="Times New Roman"/>
          <w:sz w:val="24"/>
          <w:szCs w:val="24"/>
        </w:rPr>
        <w:t xml:space="preserve">EUACI considers it important to further support Ukraine and Ukrainian civil society engagement in the EU accession process and in anti-corruption reforms. </w:t>
      </w:r>
    </w:p>
    <w:p w14:paraId="6230A616" w14:textId="4739EB7F" w:rsidR="009B05C7" w:rsidRPr="000F6BA7" w:rsidRDefault="009B05C7" w:rsidP="000F6BA7">
      <w:pPr>
        <w:spacing w:after="200" w:line="240" w:lineRule="auto"/>
        <w:jc w:val="both"/>
        <w:rPr>
          <w:rFonts w:ascii="Times New Roman" w:hAnsi="Times New Roman" w:cs="Times New Roman"/>
          <w:sz w:val="24"/>
          <w:szCs w:val="24"/>
        </w:rPr>
      </w:pPr>
      <w:r w:rsidRPr="000F6BA7">
        <w:rPr>
          <w:rFonts w:ascii="Times New Roman" w:hAnsi="Times New Roman" w:cs="Times New Roman"/>
          <w:sz w:val="24"/>
          <w:szCs w:val="24"/>
        </w:rPr>
        <w:t xml:space="preserve">At the beginning of 2025, the EUACI provided grant support under the </w:t>
      </w:r>
      <w:hyperlink r:id="rId8" w:history="1">
        <w:r w:rsidRPr="000F6BA7">
          <w:rPr>
            <w:rStyle w:val="Hyperlink"/>
            <w:rFonts w:ascii="Times New Roman" w:hAnsi="Times New Roman" w:cs="Times New Roman"/>
            <w:sz w:val="24"/>
            <w:szCs w:val="24"/>
          </w:rPr>
          <w:t>National Call for Supporting Anti-Corruption Advocacy and Analytics Regarding EU Accession,</w:t>
        </w:r>
      </w:hyperlink>
      <w:r w:rsidRPr="000F6BA7">
        <w:rPr>
          <w:rFonts w:ascii="Times New Roman" w:hAnsi="Times New Roman" w:cs="Times New Roman"/>
          <w:sz w:val="24"/>
          <w:szCs w:val="24"/>
        </w:rPr>
        <w:t xml:space="preserve"> supporting </w:t>
      </w:r>
      <w:r w:rsidRPr="000F6BA7">
        <w:rPr>
          <w:rFonts w:ascii="Times New Roman" w:hAnsi="Times New Roman" w:cs="Times New Roman"/>
          <w:sz w:val="24"/>
          <w:szCs w:val="24"/>
          <w:lang w:val="en-GB"/>
        </w:rPr>
        <w:t>CS</w:t>
      </w:r>
      <w:r w:rsidRPr="000F6BA7">
        <w:rPr>
          <w:rFonts w:ascii="Times New Roman" w:hAnsi="Times New Roman" w:cs="Times New Roman"/>
          <w:sz w:val="24"/>
          <w:szCs w:val="24"/>
        </w:rPr>
        <w:t>Os and think tanks in their advocacy and communication activities related to EU integration efforts, with a particular focus on anti-corruption measures.</w:t>
      </w:r>
    </w:p>
    <w:p w14:paraId="1143CFEA" w14:textId="6C48EF5C" w:rsidR="00FE6AFC" w:rsidRPr="000F6BA7" w:rsidRDefault="009B05C7"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Current</w:t>
      </w:r>
      <w:r w:rsidR="00FE6AFC" w:rsidRPr="000F6BA7">
        <w:rPr>
          <w:rFonts w:ascii="Times New Roman" w:hAnsi="Times New Roman" w:cs="Times New Roman"/>
          <w:sz w:val="24"/>
          <w:szCs w:val="24"/>
        </w:rPr>
        <w:t xml:space="preserve"> grant competition aims to support high-quality research and policy engagement initiatives with a strong anti-corruption focus, contributing to the achievement of the benchmarks of the EU acquis and Ukraine’s Roadmap within Chapters 23 and 24, as well as the implementation of the 10-point reform plan (“Kachka–Kos 10 Points”)</w:t>
      </w:r>
      <w:r w:rsidR="00664901" w:rsidRPr="000F6BA7">
        <w:rPr>
          <w:rFonts w:ascii="Times New Roman" w:hAnsi="Times New Roman" w:cs="Times New Roman"/>
          <w:sz w:val="24"/>
          <w:szCs w:val="24"/>
          <w:lang w:val="en-GB"/>
        </w:rPr>
        <w:t xml:space="preserve"> related to anti</w:t>
      </w:r>
      <w:r w:rsidR="00B7229B" w:rsidRPr="000F6BA7">
        <w:rPr>
          <w:rFonts w:ascii="Times New Roman" w:hAnsi="Times New Roman" w:cs="Times New Roman"/>
          <w:sz w:val="24"/>
          <w:szCs w:val="24"/>
          <w:lang w:val="en-GB"/>
        </w:rPr>
        <w:t>-</w:t>
      </w:r>
      <w:r w:rsidR="00664901" w:rsidRPr="000F6BA7">
        <w:rPr>
          <w:rFonts w:ascii="Times New Roman" w:hAnsi="Times New Roman" w:cs="Times New Roman"/>
          <w:sz w:val="24"/>
          <w:szCs w:val="24"/>
          <w:lang w:val="en-GB"/>
        </w:rPr>
        <w:t>corruption</w:t>
      </w:r>
      <w:r w:rsidRPr="000F6BA7">
        <w:rPr>
          <w:rFonts w:ascii="Times New Roman" w:hAnsi="Times New Roman" w:cs="Times New Roman"/>
          <w:sz w:val="24"/>
          <w:szCs w:val="24"/>
          <w:lang w:val="en-GB"/>
        </w:rPr>
        <w:t>,</w:t>
      </w:r>
      <w:r w:rsidR="00664901" w:rsidRPr="000F6BA7">
        <w:rPr>
          <w:rFonts w:ascii="Times New Roman" w:hAnsi="Times New Roman" w:cs="Times New Roman"/>
          <w:sz w:val="24"/>
          <w:szCs w:val="24"/>
          <w:lang w:val="en-GB"/>
        </w:rPr>
        <w:t xml:space="preserve"> provide </w:t>
      </w:r>
      <w:r w:rsidR="00A1461D" w:rsidRPr="000F6BA7">
        <w:rPr>
          <w:rFonts w:ascii="Times New Roman" w:hAnsi="Times New Roman" w:cs="Times New Roman"/>
          <w:sz w:val="24"/>
          <w:szCs w:val="24"/>
          <w:lang w:val="en-GB"/>
        </w:rPr>
        <w:t>g</w:t>
      </w:r>
      <w:r w:rsidR="00664901" w:rsidRPr="000F6BA7">
        <w:rPr>
          <w:rFonts w:ascii="Times New Roman" w:hAnsi="Times New Roman" w:cs="Times New Roman"/>
          <w:sz w:val="24"/>
          <w:szCs w:val="24"/>
          <w:lang w:val="en-GB"/>
        </w:rPr>
        <w:t>uidance and recommendations to Ukrainian government and specialized anti-corruption institutions,</w:t>
      </w:r>
      <w:r w:rsidRPr="000F6BA7">
        <w:rPr>
          <w:rFonts w:ascii="Times New Roman" w:hAnsi="Times New Roman" w:cs="Times New Roman"/>
          <w:sz w:val="24"/>
          <w:szCs w:val="24"/>
          <w:lang w:val="en-GB"/>
        </w:rPr>
        <w:t xml:space="preserve"> </w:t>
      </w:r>
      <w:r w:rsidR="00664901" w:rsidRPr="000F6BA7">
        <w:rPr>
          <w:rFonts w:ascii="Times New Roman" w:hAnsi="Times New Roman" w:cs="Times New Roman"/>
          <w:sz w:val="24"/>
          <w:szCs w:val="24"/>
          <w:lang w:val="en-GB"/>
        </w:rPr>
        <w:t>inform</w:t>
      </w:r>
      <w:r w:rsidRPr="000F6BA7">
        <w:rPr>
          <w:rFonts w:ascii="Times New Roman" w:hAnsi="Times New Roman" w:cs="Times New Roman"/>
          <w:sz w:val="24"/>
          <w:szCs w:val="24"/>
          <w:lang w:val="en-GB"/>
        </w:rPr>
        <w:t xml:space="preserve"> EU</w:t>
      </w:r>
      <w:r w:rsidR="00664901" w:rsidRPr="000F6BA7">
        <w:rPr>
          <w:rFonts w:ascii="Times New Roman" w:hAnsi="Times New Roman" w:cs="Times New Roman"/>
          <w:sz w:val="24"/>
          <w:szCs w:val="24"/>
          <w:lang w:val="en-GB"/>
        </w:rPr>
        <w:t>’s assessment of Ukraine’s progress</w:t>
      </w:r>
      <w:r w:rsidRPr="000F6BA7">
        <w:rPr>
          <w:rFonts w:ascii="Times New Roman" w:hAnsi="Times New Roman" w:cs="Times New Roman"/>
          <w:sz w:val="24"/>
          <w:szCs w:val="24"/>
          <w:lang w:val="en-GB"/>
        </w:rPr>
        <w:t xml:space="preserve"> </w:t>
      </w:r>
      <w:r w:rsidR="00664901" w:rsidRPr="000F6BA7">
        <w:rPr>
          <w:rFonts w:ascii="Times New Roman" w:hAnsi="Times New Roman" w:cs="Times New Roman"/>
          <w:sz w:val="24"/>
          <w:szCs w:val="24"/>
          <w:lang w:val="en-GB"/>
        </w:rPr>
        <w:t xml:space="preserve">outlined in annual so called </w:t>
      </w:r>
      <w:hyperlink r:id="rId9" w:history="1">
        <w:r w:rsidR="00664901" w:rsidRPr="000F6BA7">
          <w:rPr>
            <w:rStyle w:val="Hyperlink"/>
            <w:rFonts w:ascii="Times New Roman" w:hAnsi="Times New Roman" w:cs="Times New Roman"/>
            <w:sz w:val="24"/>
            <w:szCs w:val="24"/>
            <w:lang w:val="en-GB"/>
          </w:rPr>
          <w:t>E</w:t>
        </w:r>
        <w:r w:rsidRPr="000F6BA7">
          <w:rPr>
            <w:rStyle w:val="Hyperlink"/>
            <w:rFonts w:ascii="Times New Roman" w:hAnsi="Times New Roman" w:cs="Times New Roman"/>
            <w:sz w:val="24"/>
            <w:szCs w:val="24"/>
            <w:lang w:val="en-GB"/>
          </w:rPr>
          <w:t xml:space="preserve">nlargement </w:t>
        </w:r>
        <w:r w:rsidR="00664901" w:rsidRPr="000F6BA7">
          <w:rPr>
            <w:rStyle w:val="Hyperlink"/>
            <w:rFonts w:ascii="Times New Roman" w:hAnsi="Times New Roman" w:cs="Times New Roman"/>
            <w:sz w:val="24"/>
            <w:szCs w:val="24"/>
            <w:lang w:val="en-GB"/>
          </w:rPr>
          <w:t>package</w:t>
        </w:r>
      </w:hyperlink>
      <w:r w:rsidR="00664901" w:rsidRPr="000F6BA7">
        <w:rPr>
          <w:rFonts w:ascii="Times New Roman" w:hAnsi="Times New Roman" w:cs="Times New Roman"/>
          <w:sz w:val="24"/>
          <w:szCs w:val="24"/>
          <w:lang w:val="en-GB"/>
        </w:rPr>
        <w:t xml:space="preserve"> on Ukraine</w:t>
      </w:r>
      <w:r w:rsidRPr="000F6BA7">
        <w:rPr>
          <w:rFonts w:ascii="Times New Roman" w:hAnsi="Times New Roman" w:cs="Times New Roman"/>
          <w:sz w:val="24"/>
          <w:szCs w:val="24"/>
          <w:lang w:val="en-GB"/>
        </w:rPr>
        <w:t xml:space="preserve">, </w:t>
      </w:r>
      <w:r w:rsidR="00664901" w:rsidRPr="000F6BA7">
        <w:rPr>
          <w:rFonts w:ascii="Times New Roman" w:hAnsi="Times New Roman" w:cs="Times New Roman"/>
          <w:sz w:val="24"/>
          <w:szCs w:val="24"/>
          <w:lang w:val="en-GB"/>
        </w:rPr>
        <w:t>etc.</w:t>
      </w:r>
    </w:p>
    <w:p w14:paraId="1870F247" w14:textId="3AE77B3C" w:rsidR="00180151" w:rsidRPr="000F6BA7" w:rsidRDefault="0065480F" w:rsidP="000F6BA7">
      <w:pPr>
        <w:spacing w:after="0" w:line="240" w:lineRule="auto"/>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 xml:space="preserve">2. </w:t>
      </w:r>
      <w:r w:rsidR="00180151" w:rsidRPr="000F6BA7">
        <w:rPr>
          <w:rFonts w:ascii="Times New Roman" w:hAnsi="Times New Roman" w:cs="Times New Roman"/>
          <w:b/>
          <w:bCs/>
          <w:sz w:val="24"/>
          <w:szCs w:val="24"/>
          <w:lang w:val="en-GB"/>
        </w:rPr>
        <w:t xml:space="preserve">Objectives and priority issues </w:t>
      </w:r>
    </w:p>
    <w:p w14:paraId="18289A68" w14:textId="77777777" w:rsidR="006721C6" w:rsidRPr="000F6BA7" w:rsidRDefault="006721C6" w:rsidP="000F6BA7">
      <w:pPr>
        <w:spacing w:after="200" w:line="240" w:lineRule="auto"/>
        <w:jc w:val="both"/>
        <w:rPr>
          <w:rFonts w:ascii="Times New Roman" w:hAnsi="Times New Roman" w:cs="Times New Roman"/>
          <w:b/>
          <w:bCs/>
          <w:sz w:val="24"/>
          <w:szCs w:val="24"/>
        </w:rPr>
      </w:pPr>
    </w:p>
    <w:p w14:paraId="1E8077CA" w14:textId="45137FC7" w:rsidR="00CD0E60" w:rsidRPr="000F6BA7" w:rsidRDefault="00CD0E60" w:rsidP="000F6BA7">
      <w:pPr>
        <w:spacing w:after="200" w:line="240" w:lineRule="auto"/>
        <w:jc w:val="both"/>
        <w:rPr>
          <w:rFonts w:ascii="Times New Roman" w:hAnsi="Times New Roman" w:cs="Times New Roman"/>
          <w:sz w:val="24"/>
          <w:szCs w:val="24"/>
          <w:lang w:val="en-GB"/>
        </w:rPr>
      </w:pPr>
      <w:r w:rsidRPr="000F6BA7">
        <w:rPr>
          <w:rFonts w:ascii="Times New Roman" w:hAnsi="Times New Roman" w:cs="Times New Roman"/>
          <w:b/>
          <w:bCs/>
          <w:sz w:val="24"/>
          <w:szCs w:val="24"/>
        </w:rPr>
        <w:t>The objective of the Call is</w:t>
      </w:r>
      <w:r w:rsidRPr="000F6BA7">
        <w:rPr>
          <w:rFonts w:ascii="Times New Roman" w:hAnsi="Times New Roman" w:cs="Times New Roman"/>
          <w:sz w:val="24"/>
          <w:szCs w:val="24"/>
        </w:rPr>
        <w:t xml:space="preserve"> to strengthen independent CSOs’ </w:t>
      </w:r>
      <w:r w:rsidR="0009566B" w:rsidRPr="000F6BA7">
        <w:rPr>
          <w:rFonts w:ascii="Times New Roman" w:hAnsi="Times New Roman" w:cs="Times New Roman"/>
          <w:sz w:val="24"/>
          <w:szCs w:val="24"/>
        </w:rPr>
        <w:t xml:space="preserve">high-quality policy research, analytical studies, </w:t>
      </w:r>
      <w:r w:rsidR="0009566B" w:rsidRPr="000F6BA7">
        <w:rPr>
          <w:rFonts w:ascii="Times New Roman" w:hAnsi="Times New Roman" w:cs="Times New Roman"/>
          <w:sz w:val="24"/>
          <w:szCs w:val="24"/>
          <w:lang w:val="en-GB"/>
        </w:rPr>
        <w:t xml:space="preserve">monitoring </w:t>
      </w:r>
      <w:r w:rsidR="0009566B" w:rsidRPr="000F6BA7">
        <w:rPr>
          <w:rFonts w:ascii="Times New Roman" w:hAnsi="Times New Roman" w:cs="Times New Roman"/>
          <w:sz w:val="24"/>
          <w:szCs w:val="24"/>
        </w:rPr>
        <w:t xml:space="preserve">and evidence-based recommendations </w:t>
      </w:r>
      <w:r w:rsidR="0009566B" w:rsidRPr="000F6BA7">
        <w:rPr>
          <w:rFonts w:ascii="Times New Roman" w:hAnsi="Times New Roman" w:cs="Times New Roman"/>
          <w:sz w:val="24"/>
          <w:szCs w:val="24"/>
          <w:lang w:val="en-GB"/>
        </w:rPr>
        <w:t>in the area of anti</w:t>
      </w:r>
      <w:r w:rsidR="00B7229B" w:rsidRPr="000F6BA7">
        <w:rPr>
          <w:rFonts w:ascii="Times New Roman" w:hAnsi="Times New Roman" w:cs="Times New Roman"/>
          <w:sz w:val="24"/>
          <w:szCs w:val="24"/>
          <w:lang w:val="en-GB"/>
        </w:rPr>
        <w:t>-</w:t>
      </w:r>
      <w:r w:rsidR="0009566B" w:rsidRPr="000F6BA7">
        <w:rPr>
          <w:rFonts w:ascii="Times New Roman" w:hAnsi="Times New Roman" w:cs="Times New Roman"/>
          <w:sz w:val="24"/>
          <w:szCs w:val="24"/>
          <w:lang w:val="en-GB"/>
        </w:rPr>
        <w:t xml:space="preserve">corruption and follow up advocacy </w:t>
      </w:r>
      <w:r w:rsidR="0009566B" w:rsidRPr="000F6BA7">
        <w:rPr>
          <w:rFonts w:ascii="Times New Roman" w:hAnsi="Times New Roman" w:cs="Times New Roman"/>
          <w:sz w:val="24"/>
          <w:szCs w:val="24"/>
        </w:rPr>
        <w:t>focused on anti-corruption reforms within the context of Ukraine’s accession to the European Union</w:t>
      </w:r>
      <w:r w:rsidR="0009566B" w:rsidRPr="000F6BA7">
        <w:rPr>
          <w:rFonts w:ascii="Times New Roman" w:hAnsi="Times New Roman" w:cs="Times New Roman"/>
          <w:sz w:val="24"/>
          <w:szCs w:val="24"/>
          <w:lang w:val="en-GB"/>
        </w:rPr>
        <w:t>.</w:t>
      </w:r>
    </w:p>
    <w:p w14:paraId="2F4EE345" w14:textId="4F9CE3E3" w:rsidR="00CD0E60" w:rsidRPr="000F6BA7" w:rsidRDefault="00CD0E60" w:rsidP="000F6BA7">
      <w:pPr>
        <w:spacing w:before="20" w:after="20" w:line="240" w:lineRule="auto"/>
        <w:jc w:val="both"/>
        <w:rPr>
          <w:rFonts w:ascii="Times New Roman" w:hAnsi="Times New Roman" w:cs="Times New Roman"/>
          <w:b/>
          <w:bCs/>
          <w:sz w:val="24"/>
          <w:szCs w:val="24"/>
        </w:rPr>
      </w:pPr>
      <w:r w:rsidRPr="000F6BA7">
        <w:rPr>
          <w:rFonts w:ascii="Times New Roman" w:hAnsi="Times New Roman" w:cs="Times New Roman"/>
          <w:b/>
          <w:bCs/>
          <w:sz w:val="24"/>
          <w:szCs w:val="24"/>
        </w:rPr>
        <w:t>Priority Thematic Areas</w:t>
      </w:r>
      <w:r w:rsidR="0034019F" w:rsidRPr="000F6BA7">
        <w:rPr>
          <w:rFonts w:ascii="Times New Roman" w:hAnsi="Times New Roman" w:cs="Times New Roman"/>
          <w:b/>
          <w:bCs/>
          <w:sz w:val="24"/>
          <w:szCs w:val="24"/>
          <w:lang w:val="en-GB"/>
        </w:rPr>
        <w:t>:</w:t>
      </w:r>
      <w:r w:rsidRPr="000F6BA7">
        <w:rPr>
          <w:rFonts w:ascii="Times New Roman" w:hAnsi="Times New Roman" w:cs="Times New Roman"/>
          <w:b/>
          <w:bCs/>
          <w:sz w:val="24"/>
          <w:szCs w:val="24"/>
        </w:rPr>
        <w:t xml:space="preserve"> </w:t>
      </w:r>
    </w:p>
    <w:p w14:paraId="6DA4ACF3" w14:textId="77777777" w:rsidR="0034019F" w:rsidRPr="000F6BA7" w:rsidRDefault="0034019F" w:rsidP="000F6BA7">
      <w:pPr>
        <w:spacing w:before="20" w:after="20" w:line="240" w:lineRule="auto"/>
        <w:jc w:val="both"/>
        <w:rPr>
          <w:rFonts w:ascii="Times New Roman" w:hAnsi="Times New Roman" w:cs="Times New Roman"/>
          <w:b/>
          <w:bCs/>
          <w:sz w:val="24"/>
          <w:szCs w:val="24"/>
        </w:rPr>
      </w:pPr>
    </w:p>
    <w:p w14:paraId="62B3F722" w14:textId="55A74A59" w:rsidR="00CD0E60" w:rsidRPr="000F6BA7" w:rsidRDefault="00CD0E60" w:rsidP="000F6BA7">
      <w:pPr>
        <w:spacing w:before="20" w:after="20" w:line="240" w:lineRule="auto"/>
        <w:jc w:val="both"/>
        <w:rPr>
          <w:rFonts w:ascii="Times New Roman" w:hAnsi="Times New Roman" w:cs="Times New Roman"/>
          <w:b/>
          <w:bCs/>
          <w:sz w:val="24"/>
          <w:szCs w:val="24"/>
        </w:rPr>
      </w:pPr>
      <w:r w:rsidRPr="000F6BA7">
        <w:rPr>
          <w:rFonts w:ascii="Times New Roman" w:hAnsi="Times New Roman" w:cs="Times New Roman"/>
          <w:b/>
          <w:bCs/>
          <w:sz w:val="24"/>
          <w:szCs w:val="24"/>
        </w:rPr>
        <w:t>Propos</w:t>
      </w:r>
      <w:r w:rsidR="006441B5" w:rsidRPr="000F6BA7">
        <w:rPr>
          <w:rFonts w:ascii="Times New Roman" w:hAnsi="Times New Roman" w:cs="Times New Roman"/>
          <w:b/>
          <w:bCs/>
          <w:sz w:val="24"/>
          <w:szCs w:val="24"/>
          <w:lang w:val="en-GB"/>
        </w:rPr>
        <w:t>ed research papers and analytical documents shall focus on assessing and developing recommendations</w:t>
      </w:r>
      <w:r w:rsidRPr="000F6BA7">
        <w:rPr>
          <w:rFonts w:ascii="Times New Roman" w:hAnsi="Times New Roman" w:cs="Times New Roman"/>
          <w:b/>
          <w:bCs/>
          <w:sz w:val="24"/>
          <w:szCs w:val="24"/>
        </w:rPr>
        <w:t xml:space="preserve"> </w:t>
      </w:r>
      <w:r w:rsidR="006441B5" w:rsidRPr="000F6BA7">
        <w:rPr>
          <w:rFonts w:ascii="Times New Roman" w:hAnsi="Times New Roman" w:cs="Times New Roman"/>
          <w:b/>
          <w:bCs/>
          <w:sz w:val="24"/>
          <w:szCs w:val="24"/>
          <w:lang w:val="en-GB"/>
        </w:rPr>
        <w:t>as to</w:t>
      </w:r>
      <w:r w:rsidRPr="000F6BA7">
        <w:rPr>
          <w:rFonts w:ascii="Times New Roman" w:hAnsi="Times New Roman" w:cs="Times New Roman"/>
          <w:b/>
          <w:bCs/>
          <w:sz w:val="24"/>
          <w:szCs w:val="24"/>
        </w:rPr>
        <w:t xml:space="preserve"> one or more of the following </w:t>
      </w:r>
      <w:r w:rsidR="00DA3CB3" w:rsidRPr="000F6BA7">
        <w:rPr>
          <w:rFonts w:ascii="Times New Roman" w:hAnsi="Times New Roman" w:cs="Times New Roman"/>
          <w:b/>
          <w:bCs/>
          <w:sz w:val="24"/>
          <w:szCs w:val="24"/>
          <w:lang w:val="en-GB"/>
        </w:rPr>
        <w:t xml:space="preserve">thematic </w:t>
      </w:r>
      <w:r w:rsidRPr="000F6BA7">
        <w:rPr>
          <w:rFonts w:ascii="Times New Roman" w:hAnsi="Times New Roman" w:cs="Times New Roman"/>
          <w:b/>
          <w:bCs/>
          <w:sz w:val="24"/>
          <w:szCs w:val="24"/>
        </w:rPr>
        <w:t>priority areas:</w:t>
      </w:r>
    </w:p>
    <w:p w14:paraId="566F3EFD" w14:textId="4183DAD5" w:rsidR="00DA3CB3" w:rsidRPr="000F6BA7" w:rsidRDefault="00CD0E60" w:rsidP="000F6BA7">
      <w:pPr>
        <w:pStyle w:val="ListParagraph"/>
        <w:numPr>
          <w:ilvl w:val="0"/>
          <w:numId w:val="27"/>
        </w:numPr>
        <w:spacing w:after="200" w:line="240" w:lineRule="auto"/>
        <w:jc w:val="both"/>
        <w:rPr>
          <w:rFonts w:ascii="Times New Roman" w:hAnsi="Times New Roman" w:cs="Times New Roman"/>
          <w:sz w:val="24"/>
          <w:szCs w:val="24"/>
        </w:rPr>
      </w:pPr>
      <w:r w:rsidRPr="000F6BA7">
        <w:rPr>
          <w:rFonts w:ascii="Times New Roman" w:hAnsi="Times New Roman" w:cs="Times New Roman"/>
          <w:sz w:val="24"/>
          <w:szCs w:val="24"/>
        </w:rPr>
        <w:t>Strengthening the institutional capacity, effectiveness, and independence of specialised anti-corruption institutions</w:t>
      </w:r>
      <w:r w:rsidR="00E105BB" w:rsidRPr="000F6BA7">
        <w:rPr>
          <w:rFonts w:ascii="Times New Roman" w:hAnsi="Times New Roman" w:cs="Times New Roman"/>
          <w:sz w:val="24"/>
          <w:szCs w:val="24"/>
          <w:lang w:val="en-GB"/>
        </w:rPr>
        <w:t>: National Anti</w:t>
      </w:r>
      <w:r w:rsidR="00A1461D" w:rsidRPr="000F6BA7">
        <w:rPr>
          <w:rFonts w:ascii="Times New Roman" w:hAnsi="Times New Roman" w:cs="Times New Roman"/>
          <w:sz w:val="24"/>
          <w:szCs w:val="24"/>
          <w:lang w:val="en-GB"/>
        </w:rPr>
        <w:t>-C</w:t>
      </w:r>
      <w:r w:rsidR="00E105BB" w:rsidRPr="000F6BA7">
        <w:rPr>
          <w:rFonts w:ascii="Times New Roman" w:hAnsi="Times New Roman" w:cs="Times New Roman"/>
          <w:sz w:val="24"/>
          <w:szCs w:val="24"/>
          <w:lang w:val="en-GB"/>
        </w:rPr>
        <w:t>orruption Bureau</w:t>
      </w:r>
      <w:r w:rsidR="00A1461D" w:rsidRPr="000F6BA7">
        <w:rPr>
          <w:rFonts w:ascii="Times New Roman" w:hAnsi="Times New Roman" w:cs="Times New Roman"/>
          <w:sz w:val="24"/>
          <w:szCs w:val="24"/>
          <w:lang w:val="en-GB"/>
        </w:rPr>
        <w:t xml:space="preserve"> of Ukraine</w:t>
      </w:r>
      <w:r w:rsidR="00E105BB" w:rsidRPr="000F6BA7">
        <w:rPr>
          <w:rFonts w:ascii="Times New Roman" w:hAnsi="Times New Roman" w:cs="Times New Roman"/>
          <w:sz w:val="24"/>
          <w:szCs w:val="24"/>
          <w:lang w:val="en-GB"/>
        </w:rPr>
        <w:t xml:space="preserve"> (NABU),</w:t>
      </w:r>
      <w:r w:rsidR="0009566B" w:rsidRPr="000F6BA7">
        <w:rPr>
          <w:rFonts w:ascii="Times New Roman" w:hAnsi="Times New Roman" w:cs="Times New Roman"/>
          <w:sz w:val="24"/>
          <w:szCs w:val="24"/>
          <w:lang w:val="en-GB"/>
        </w:rPr>
        <w:t xml:space="preserve"> </w:t>
      </w:r>
      <w:r w:rsidR="00E105BB" w:rsidRPr="000F6BA7">
        <w:rPr>
          <w:rFonts w:ascii="Times New Roman" w:hAnsi="Times New Roman" w:cs="Times New Roman"/>
          <w:sz w:val="24"/>
          <w:szCs w:val="24"/>
          <w:lang w:val="en-GB"/>
        </w:rPr>
        <w:t xml:space="preserve">Specialized </w:t>
      </w:r>
      <w:r w:rsidR="00E105BB" w:rsidRPr="000F6BA7">
        <w:rPr>
          <w:rFonts w:ascii="Times New Roman" w:hAnsi="Times New Roman" w:cs="Times New Roman"/>
          <w:sz w:val="24"/>
          <w:szCs w:val="24"/>
          <w:lang w:val="en-GB"/>
        </w:rPr>
        <w:lastRenderedPageBreak/>
        <w:t xml:space="preserve">Anti-Corruption </w:t>
      </w:r>
      <w:r w:rsidR="00A1461D" w:rsidRPr="000F6BA7">
        <w:rPr>
          <w:rFonts w:ascii="Times New Roman" w:hAnsi="Times New Roman" w:cs="Times New Roman"/>
          <w:sz w:val="24"/>
          <w:szCs w:val="24"/>
          <w:lang w:val="en-GB"/>
        </w:rPr>
        <w:t>P</w:t>
      </w:r>
      <w:r w:rsidR="00E105BB" w:rsidRPr="000F6BA7">
        <w:rPr>
          <w:rFonts w:ascii="Times New Roman" w:hAnsi="Times New Roman" w:cs="Times New Roman"/>
          <w:sz w:val="24"/>
          <w:szCs w:val="24"/>
          <w:lang w:val="en-GB"/>
        </w:rPr>
        <w:t>rosecut</w:t>
      </w:r>
      <w:r w:rsidR="00A1461D" w:rsidRPr="000F6BA7">
        <w:rPr>
          <w:rFonts w:ascii="Times New Roman" w:hAnsi="Times New Roman" w:cs="Times New Roman"/>
          <w:sz w:val="24"/>
          <w:szCs w:val="24"/>
          <w:lang w:val="en-GB"/>
        </w:rPr>
        <w:t>or’s</w:t>
      </w:r>
      <w:r w:rsidR="00E105BB" w:rsidRPr="000F6BA7">
        <w:rPr>
          <w:rFonts w:ascii="Times New Roman" w:hAnsi="Times New Roman" w:cs="Times New Roman"/>
          <w:sz w:val="24"/>
          <w:szCs w:val="24"/>
          <w:lang w:val="en-GB"/>
        </w:rPr>
        <w:t xml:space="preserve"> Office (SAPO), High Anti-Corruption Court (HACC), National Agency for Corruption </w:t>
      </w:r>
      <w:r w:rsidR="00A1461D" w:rsidRPr="000F6BA7">
        <w:rPr>
          <w:rFonts w:ascii="Times New Roman" w:hAnsi="Times New Roman" w:cs="Times New Roman"/>
          <w:sz w:val="24"/>
          <w:szCs w:val="24"/>
          <w:lang w:val="en-GB"/>
        </w:rPr>
        <w:t>P</w:t>
      </w:r>
      <w:r w:rsidR="00E105BB" w:rsidRPr="000F6BA7">
        <w:rPr>
          <w:rFonts w:ascii="Times New Roman" w:hAnsi="Times New Roman" w:cs="Times New Roman"/>
          <w:sz w:val="24"/>
          <w:szCs w:val="24"/>
          <w:lang w:val="en-GB"/>
        </w:rPr>
        <w:t>revention (NACP).</w:t>
      </w:r>
    </w:p>
    <w:p w14:paraId="3BB2AE6F" w14:textId="77777777" w:rsidR="0034019F" w:rsidRPr="000F6BA7" w:rsidRDefault="00AA6D44" w:rsidP="000F6BA7">
      <w:pPr>
        <w:pStyle w:val="ListParagraph"/>
        <w:numPr>
          <w:ilvl w:val="0"/>
          <w:numId w:val="27"/>
        </w:numPr>
        <w:spacing w:after="200" w:line="240" w:lineRule="auto"/>
        <w:jc w:val="both"/>
        <w:rPr>
          <w:rFonts w:ascii="Times New Roman" w:hAnsi="Times New Roman" w:cs="Times New Roman"/>
          <w:sz w:val="24"/>
          <w:szCs w:val="24"/>
        </w:rPr>
      </w:pPr>
      <w:r w:rsidRPr="000F6BA7">
        <w:rPr>
          <w:rFonts w:ascii="Times New Roman" w:hAnsi="Times New Roman" w:cs="Times New Roman"/>
          <w:sz w:val="24"/>
          <w:szCs w:val="24"/>
          <w:lang w:val="en-GB"/>
        </w:rPr>
        <w:t>Improving a track record in investigation, prosecution and adjudication of corruption cases, particularly at the high level</w:t>
      </w:r>
      <w:r w:rsidR="006441B5" w:rsidRPr="000F6BA7">
        <w:rPr>
          <w:rFonts w:ascii="Times New Roman" w:hAnsi="Times New Roman" w:cs="Times New Roman"/>
          <w:sz w:val="24"/>
          <w:szCs w:val="24"/>
          <w:lang w:val="en-GB"/>
        </w:rPr>
        <w:t xml:space="preserve"> as well as </w:t>
      </w:r>
      <w:r w:rsidR="006441B5" w:rsidRPr="000F6BA7">
        <w:rPr>
          <w:rFonts w:ascii="Times New Roman" w:hAnsi="Times New Roman" w:cs="Times New Roman"/>
          <w:b/>
          <w:bCs/>
          <w:sz w:val="24"/>
          <w:szCs w:val="24"/>
          <w:lang w:val="en-US"/>
        </w:rPr>
        <w:t>track record of seizures and final confiscations of corruption proceeds and instrumentalities.</w:t>
      </w:r>
    </w:p>
    <w:p w14:paraId="6462CC52" w14:textId="3B779615" w:rsidR="00AA6D44" w:rsidRPr="000F6BA7" w:rsidRDefault="00AA6D44" w:rsidP="000F6BA7">
      <w:pPr>
        <w:pStyle w:val="ListParagraph"/>
        <w:numPr>
          <w:ilvl w:val="0"/>
          <w:numId w:val="27"/>
        </w:numPr>
        <w:spacing w:after="200" w:line="240" w:lineRule="auto"/>
        <w:jc w:val="both"/>
        <w:rPr>
          <w:rFonts w:ascii="Times New Roman" w:hAnsi="Times New Roman" w:cs="Times New Roman"/>
          <w:sz w:val="24"/>
          <w:szCs w:val="24"/>
        </w:rPr>
      </w:pPr>
      <w:r w:rsidRPr="000F6BA7">
        <w:rPr>
          <w:rFonts w:ascii="Times New Roman" w:hAnsi="Times New Roman" w:cs="Times New Roman"/>
          <w:sz w:val="24"/>
          <w:szCs w:val="24"/>
          <w:lang w:val="en-GB"/>
        </w:rPr>
        <w:t>Improving a track record of corruption prevention measures</w:t>
      </w:r>
      <w:r w:rsidR="006441B5" w:rsidRPr="000F6BA7">
        <w:rPr>
          <w:rFonts w:ascii="Times New Roman" w:hAnsi="Times New Roman" w:cs="Times New Roman"/>
          <w:sz w:val="24"/>
          <w:szCs w:val="24"/>
          <w:lang w:val="en-GB"/>
        </w:rPr>
        <w:t xml:space="preserve">, </w:t>
      </w:r>
      <w:r w:rsidR="00710C34" w:rsidRPr="000F6BA7">
        <w:rPr>
          <w:rFonts w:ascii="Times New Roman" w:hAnsi="Times New Roman" w:cs="Times New Roman"/>
          <w:sz w:val="24"/>
          <w:szCs w:val="24"/>
          <w:lang w:val="en-GB"/>
        </w:rPr>
        <w:t>particularly</w:t>
      </w:r>
      <w:r w:rsidR="006441B5" w:rsidRPr="000F6BA7">
        <w:rPr>
          <w:rFonts w:ascii="Times New Roman" w:hAnsi="Times New Roman" w:cs="Times New Roman"/>
          <w:sz w:val="24"/>
          <w:szCs w:val="24"/>
          <w:lang w:val="en-GB"/>
        </w:rPr>
        <w:t xml:space="preserve"> </w:t>
      </w:r>
      <w:r w:rsidR="008D2F37" w:rsidRPr="000F6BA7">
        <w:rPr>
          <w:rFonts w:ascii="Times New Roman" w:hAnsi="Times New Roman" w:cs="Times New Roman"/>
          <w:sz w:val="24"/>
          <w:szCs w:val="24"/>
          <w:lang w:val="en-GB"/>
        </w:rPr>
        <w:t xml:space="preserve">on </w:t>
      </w:r>
      <w:r w:rsidR="006441B5" w:rsidRPr="000F6BA7">
        <w:rPr>
          <w:rFonts w:ascii="Times New Roman" w:hAnsi="Times New Roman" w:cs="Times New Roman"/>
          <w:b/>
          <w:bCs/>
          <w:sz w:val="24"/>
          <w:szCs w:val="24"/>
          <w:lang w:val="en-US"/>
        </w:rPr>
        <w:t>asset disclosure</w:t>
      </w:r>
      <w:r w:rsidR="00710C34" w:rsidRPr="000F6BA7">
        <w:rPr>
          <w:rFonts w:ascii="Times New Roman" w:hAnsi="Times New Roman" w:cs="Times New Roman"/>
          <w:b/>
          <w:bCs/>
          <w:sz w:val="24"/>
          <w:szCs w:val="24"/>
          <w:lang w:val="en-US"/>
        </w:rPr>
        <w:t>,</w:t>
      </w:r>
      <w:r w:rsidR="006441B5" w:rsidRPr="000F6BA7">
        <w:rPr>
          <w:rFonts w:ascii="Times New Roman" w:hAnsi="Times New Roman" w:cs="Times New Roman"/>
          <w:b/>
          <w:bCs/>
          <w:sz w:val="24"/>
          <w:szCs w:val="24"/>
          <w:lang w:val="en-US"/>
        </w:rPr>
        <w:t xml:space="preserve"> conflict of interest</w:t>
      </w:r>
      <w:r w:rsidR="00710C34" w:rsidRPr="000F6BA7">
        <w:rPr>
          <w:rFonts w:ascii="Times New Roman" w:hAnsi="Times New Roman" w:cs="Times New Roman"/>
          <w:b/>
          <w:bCs/>
          <w:sz w:val="24"/>
          <w:szCs w:val="24"/>
          <w:lang w:val="en-US"/>
        </w:rPr>
        <w:t xml:space="preserve"> and related restrictions (gifts, incompatibilities etc.), lobbying, etc.</w:t>
      </w:r>
    </w:p>
    <w:p w14:paraId="7D0B250B" w14:textId="55740EE5" w:rsidR="008715C0" w:rsidRPr="000F6BA7" w:rsidRDefault="00DA3CB3" w:rsidP="000F6BA7">
      <w:pPr>
        <w:pStyle w:val="ListParagraph"/>
        <w:numPr>
          <w:ilvl w:val="0"/>
          <w:numId w:val="27"/>
        </w:numPr>
        <w:spacing w:after="200" w:line="240" w:lineRule="auto"/>
        <w:jc w:val="both"/>
        <w:rPr>
          <w:rFonts w:ascii="Times New Roman" w:hAnsi="Times New Roman" w:cs="Times New Roman"/>
          <w:sz w:val="24"/>
          <w:szCs w:val="24"/>
        </w:rPr>
      </w:pPr>
      <w:r w:rsidRPr="000F6BA7">
        <w:rPr>
          <w:rFonts w:ascii="Times New Roman" w:hAnsi="Times New Roman" w:cs="Times New Roman"/>
          <w:sz w:val="24"/>
          <w:szCs w:val="24"/>
        </w:rPr>
        <w:t>Progress in the development, implementation, and enforcement of legal and policy frameworks</w:t>
      </w:r>
      <w:r w:rsidR="00AA6D44" w:rsidRPr="000F6BA7">
        <w:rPr>
          <w:rFonts w:ascii="Times New Roman" w:hAnsi="Times New Roman" w:cs="Times New Roman"/>
          <w:sz w:val="24"/>
          <w:szCs w:val="24"/>
          <w:lang w:val="en-GB"/>
        </w:rPr>
        <w:t xml:space="preserve"> in the area of anti</w:t>
      </w:r>
      <w:r w:rsidR="008D2F37" w:rsidRPr="000F6BA7">
        <w:rPr>
          <w:rFonts w:ascii="Times New Roman" w:hAnsi="Times New Roman" w:cs="Times New Roman"/>
          <w:sz w:val="24"/>
          <w:szCs w:val="24"/>
          <w:lang w:val="en-GB"/>
        </w:rPr>
        <w:t>-</w:t>
      </w:r>
      <w:r w:rsidR="00AA6D44" w:rsidRPr="000F6BA7">
        <w:rPr>
          <w:rFonts w:ascii="Times New Roman" w:hAnsi="Times New Roman" w:cs="Times New Roman"/>
          <w:sz w:val="24"/>
          <w:szCs w:val="24"/>
          <w:lang w:val="en-GB"/>
        </w:rPr>
        <w:t>corruption</w:t>
      </w:r>
      <w:r w:rsidR="006441B5" w:rsidRPr="000F6BA7">
        <w:rPr>
          <w:rFonts w:ascii="Times New Roman" w:hAnsi="Times New Roman" w:cs="Times New Roman"/>
          <w:sz w:val="24"/>
          <w:szCs w:val="24"/>
          <w:lang w:val="en-GB"/>
        </w:rPr>
        <w:t>.</w:t>
      </w:r>
    </w:p>
    <w:p w14:paraId="36F9796D" w14:textId="71E92BD6" w:rsidR="00CD0E60" w:rsidRPr="000F6BA7" w:rsidRDefault="00DA3CB3" w:rsidP="000F6BA7">
      <w:pPr>
        <w:pStyle w:val="ListParagraph"/>
        <w:numPr>
          <w:ilvl w:val="0"/>
          <w:numId w:val="27"/>
        </w:numPr>
        <w:spacing w:after="200" w:line="240" w:lineRule="auto"/>
        <w:jc w:val="both"/>
        <w:rPr>
          <w:rFonts w:ascii="Times New Roman" w:hAnsi="Times New Roman" w:cs="Times New Roman"/>
          <w:sz w:val="24"/>
          <w:szCs w:val="24"/>
        </w:rPr>
      </w:pPr>
      <w:r w:rsidRPr="000F6BA7">
        <w:rPr>
          <w:rFonts w:ascii="Times New Roman" w:hAnsi="Times New Roman" w:cs="Times New Roman"/>
          <w:sz w:val="24"/>
          <w:szCs w:val="24"/>
        </w:rPr>
        <w:t>Harmonisation of Ukraine’s anti-corruption legislation with the EU acquis,</w:t>
      </w:r>
      <w:r w:rsidR="006441B5" w:rsidRPr="000F6BA7">
        <w:rPr>
          <w:rFonts w:ascii="Times New Roman" w:hAnsi="Times New Roman" w:cs="Times New Roman"/>
          <w:sz w:val="24"/>
          <w:szCs w:val="24"/>
          <w:lang w:val="en-GB"/>
        </w:rPr>
        <w:t xml:space="preserve"> including Directives mentioned above</w:t>
      </w:r>
      <w:r w:rsidR="008D2F37" w:rsidRPr="000F6BA7">
        <w:rPr>
          <w:rFonts w:ascii="Times New Roman" w:hAnsi="Times New Roman" w:cs="Times New Roman"/>
          <w:sz w:val="24"/>
          <w:szCs w:val="24"/>
          <w:lang w:val="en-GB"/>
        </w:rPr>
        <w:t xml:space="preserve">, </w:t>
      </w:r>
      <w:r w:rsidRPr="000F6BA7">
        <w:rPr>
          <w:rFonts w:ascii="Times New Roman" w:hAnsi="Times New Roman" w:cs="Times New Roman"/>
          <w:sz w:val="24"/>
          <w:szCs w:val="24"/>
        </w:rPr>
        <w:t>implementation of recommendations of GRECO and OECD</w:t>
      </w:r>
      <w:r w:rsidR="00E105BB" w:rsidRPr="000F6BA7">
        <w:rPr>
          <w:rFonts w:ascii="Times New Roman" w:hAnsi="Times New Roman" w:cs="Times New Roman"/>
          <w:sz w:val="24"/>
          <w:szCs w:val="24"/>
          <w:lang w:val="en-GB"/>
        </w:rPr>
        <w:t xml:space="preserve"> in</w:t>
      </w:r>
      <w:r w:rsidR="00AA6D44" w:rsidRPr="000F6BA7">
        <w:rPr>
          <w:rFonts w:ascii="Times New Roman" w:hAnsi="Times New Roman" w:cs="Times New Roman"/>
          <w:sz w:val="24"/>
          <w:szCs w:val="24"/>
          <w:lang w:val="en-GB"/>
        </w:rPr>
        <w:t xml:space="preserve"> the</w:t>
      </w:r>
      <w:r w:rsidR="00E105BB" w:rsidRPr="000F6BA7">
        <w:rPr>
          <w:rFonts w:ascii="Times New Roman" w:hAnsi="Times New Roman" w:cs="Times New Roman"/>
          <w:sz w:val="24"/>
          <w:szCs w:val="24"/>
          <w:lang w:val="en-GB"/>
        </w:rPr>
        <w:t xml:space="preserve"> </w:t>
      </w:r>
      <w:r w:rsidR="00AA6D44" w:rsidRPr="000F6BA7">
        <w:rPr>
          <w:rFonts w:ascii="Times New Roman" w:hAnsi="Times New Roman" w:cs="Times New Roman"/>
          <w:sz w:val="24"/>
          <w:szCs w:val="24"/>
          <w:lang w:val="en-GB"/>
        </w:rPr>
        <w:t xml:space="preserve">area of </w:t>
      </w:r>
      <w:r w:rsidR="00E105BB" w:rsidRPr="000F6BA7">
        <w:rPr>
          <w:rFonts w:ascii="Times New Roman" w:hAnsi="Times New Roman" w:cs="Times New Roman"/>
          <w:sz w:val="24"/>
          <w:szCs w:val="24"/>
          <w:lang w:val="en-GB"/>
        </w:rPr>
        <w:t>anti</w:t>
      </w:r>
      <w:r w:rsidR="008D2F37" w:rsidRPr="000F6BA7">
        <w:rPr>
          <w:rFonts w:ascii="Times New Roman" w:hAnsi="Times New Roman" w:cs="Times New Roman"/>
          <w:sz w:val="24"/>
          <w:szCs w:val="24"/>
          <w:lang w:val="en-GB"/>
        </w:rPr>
        <w:t>-</w:t>
      </w:r>
      <w:r w:rsidR="00E105BB" w:rsidRPr="000F6BA7">
        <w:rPr>
          <w:rFonts w:ascii="Times New Roman" w:hAnsi="Times New Roman" w:cs="Times New Roman"/>
          <w:sz w:val="24"/>
          <w:szCs w:val="24"/>
          <w:lang w:val="en-GB"/>
        </w:rPr>
        <w:t>corruption.</w:t>
      </w:r>
    </w:p>
    <w:p w14:paraId="5FD87247" w14:textId="1943B00C" w:rsidR="00CD0E60" w:rsidRPr="000F6BA7" w:rsidRDefault="00CD0E60" w:rsidP="000F6BA7">
      <w:pPr>
        <w:pStyle w:val="ListParagraph"/>
        <w:numPr>
          <w:ilvl w:val="0"/>
          <w:numId w:val="27"/>
        </w:numPr>
        <w:spacing w:after="200" w:line="240" w:lineRule="auto"/>
        <w:jc w:val="both"/>
        <w:rPr>
          <w:rFonts w:ascii="Times New Roman" w:hAnsi="Times New Roman" w:cs="Times New Roman"/>
          <w:sz w:val="24"/>
          <w:szCs w:val="24"/>
        </w:rPr>
      </w:pPr>
      <w:r w:rsidRPr="000F6BA7">
        <w:rPr>
          <w:rFonts w:ascii="Times New Roman" w:hAnsi="Times New Roman" w:cs="Times New Roman"/>
          <w:sz w:val="24"/>
          <w:szCs w:val="24"/>
        </w:rPr>
        <w:t xml:space="preserve">Conducting corruption risk assessments in sectors most vulnerable to corruption, including the development of evidence-based recommendations to </w:t>
      </w:r>
      <w:r w:rsidR="008D2F37" w:rsidRPr="000F6BA7">
        <w:rPr>
          <w:rFonts w:ascii="Times New Roman" w:hAnsi="Times New Roman" w:cs="Times New Roman"/>
          <w:sz w:val="24"/>
          <w:szCs w:val="24"/>
          <w:lang w:val="en-GB"/>
        </w:rPr>
        <w:t>mitigate major corruption risks</w:t>
      </w:r>
      <w:r w:rsidR="00E105BB" w:rsidRPr="000F6BA7">
        <w:rPr>
          <w:rFonts w:ascii="Times New Roman" w:hAnsi="Times New Roman" w:cs="Times New Roman"/>
          <w:sz w:val="24"/>
          <w:szCs w:val="24"/>
          <w:lang w:val="en-GB"/>
        </w:rPr>
        <w:t>.</w:t>
      </w:r>
    </w:p>
    <w:p w14:paraId="2102DB6D" w14:textId="01EDFDDE" w:rsidR="00DA3CB3" w:rsidRPr="000F6BA7" w:rsidRDefault="00DA3CB3" w:rsidP="000F6BA7">
      <w:pPr>
        <w:pStyle w:val="NormalWeb"/>
        <w:spacing w:after="0" w:afterAutospacing="0"/>
        <w:rPr>
          <w:b/>
          <w:bCs/>
        </w:rPr>
      </w:pPr>
      <w:r w:rsidRPr="000F6BA7">
        <w:rPr>
          <w:b/>
          <w:bCs/>
        </w:rPr>
        <w:t xml:space="preserve">Eligible types of activities </w:t>
      </w:r>
      <w:r w:rsidR="00E105BB" w:rsidRPr="000F6BA7">
        <w:rPr>
          <w:b/>
          <w:bCs/>
        </w:rPr>
        <w:t>include</w:t>
      </w:r>
      <w:r w:rsidRPr="000F6BA7">
        <w:rPr>
          <w:b/>
          <w:bCs/>
        </w:rPr>
        <w:t xml:space="preserve"> but not limited</w:t>
      </w:r>
      <w:r w:rsidR="00E105BB" w:rsidRPr="000F6BA7">
        <w:rPr>
          <w:b/>
          <w:bCs/>
        </w:rPr>
        <w:t xml:space="preserve"> to</w:t>
      </w:r>
      <w:r w:rsidRPr="000F6BA7">
        <w:rPr>
          <w:b/>
          <w:bCs/>
        </w:rPr>
        <w:t>:</w:t>
      </w:r>
    </w:p>
    <w:p w14:paraId="2EE5D1E2" w14:textId="2A6B6DFC" w:rsidR="00DA3CB3" w:rsidRPr="000F6BA7" w:rsidRDefault="00DA3CB3" w:rsidP="000F6BA7">
      <w:pPr>
        <w:pStyle w:val="NormalWeb"/>
        <w:numPr>
          <w:ilvl w:val="0"/>
          <w:numId w:val="30"/>
        </w:numPr>
        <w:spacing w:after="0" w:afterAutospacing="0"/>
        <w:ind w:left="709"/>
      </w:pPr>
      <w:r w:rsidRPr="000F6BA7">
        <w:t>Monitoring of practice of work of anti</w:t>
      </w:r>
      <w:r w:rsidR="008D2F37" w:rsidRPr="000F6BA7">
        <w:t>-</w:t>
      </w:r>
      <w:r w:rsidRPr="000F6BA7">
        <w:t xml:space="preserve">corruption institutions and performance of their </w:t>
      </w:r>
      <w:r w:rsidR="008D2F37" w:rsidRPr="000F6BA7">
        <w:t xml:space="preserve">core </w:t>
      </w:r>
      <w:r w:rsidRPr="000F6BA7">
        <w:t>functions</w:t>
      </w:r>
      <w:r w:rsidR="001D0EBF" w:rsidRPr="000F6BA7">
        <w:t>.</w:t>
      </w:r>
    </w:p>
    <w:p w14:paraId="131922E4" w14:textId="0173E436" w:rsidR="00710C34" w:rsidRPr="000F6BA7" w:rsidRDefault="00710C34" w:rsidP="000F6BA7">
      <w:pPr>
        <w:pStyle w:val="NormalWeb"/>
        <w:numPr>
          <w:ilvl w:val="0"/>
          <w:numId w:val="30"/>
        </w:numPr>
        <w:spacing w:after="0" w:afterAutospacing="0"/>
        <w:ind w:left="709"/>
      </w:pPr>
      <w:r w:rsidRPr="000F6BA7">
        <w:rPr>
          <w:lang w:val="en-US"/>
        </w:rPr>
        <w:t xml:space="preserve">Studies related </w:t>
      </w:r>
      <w:r w:rsidR="001D0EBF" w:rsidRPr="000F6BA7">
        <w:rPr>
          <w:lang w:val="en-US"/>
        </w:rPr>
        <w:t xml:space="preserve">to track record of prevention of corruption, </w:t>
      </w:r>
      <w:r w:rsidRPr="000F6BA7">
        <w:t>e</w:t>
      </w:r>
      <w:r w:rsidR="008D2F37" w:rsidRPr="000F6BA7">
        <w:t>.</w:t>
      </w:r>
      <w:r w:rsidRPr="000F6BA7">
        <w:t>g</w:t>
      </w:r>
      <w:r w:rsidR="008D2F37" w:rsidRPr="000F6BA7">
        <w:t>.,</w:t>
      </w:r>
      <w:r w:rsidRPr="000F6BA7">
        <w:t xml:space="preserve"> </w:t>
      </w:r>
      <w:r w:rsidR="001D0EBF" w:rsidRPr="000F6BA7">
        <w:t>p</w:t>
      </w:r>
      <w:r w:rsidRPr="000F6BA7">
        <w:t xml:space="preserve">ractice of verification of </w:t>
      </w:r>
      <w:r w:rsidR="008D2F37" w:rsidRPr="000F6BA7">
        <w:t xml:space="preserve">asset </w:t>
      </w:r>
      <w:r w:rsidRPr="000F6BA7">
        <w:t>declaration</w:t>
      </w:r>
      <w:r w:rsidR="008D2F37" w:rsidRPr="000F6BA7">
        <w:t>s</w:t>
      </w:r>
      <w:r w:rsidRPr="000F6BA7">
        <w:t xml:space="preserve"> </w:t>
      </w:r>
      <w:r w:rsidR="008D2F37" w:rsidRPr="000F6BA7">
        <w:t xml:space="preserve">and lifestyle monitoring </w:t>
      </w:r>
      <w:r w:rsidRPr="000F6BA7">
        <w:t>by the NACP</w:t>
      </w:r>
      <w:r w:rsidR="008D2F37" w:rsidRPr="000F6BA7">
        <w:t>;</w:t>
      </w:r>
      <w:r w:rsidRPr="000F6BA7">
        <w:t xml:space="preserve"> </w:t>
      </w:r>
      <w:r w:rsidR="008D2F37" w:rsidRPr="000F6BA7">
        <w:t xml:space="preserve">oversight in the area of </w:t>
      </w:r>
      <w:r w:rsidRPr="000F6BA7">
        <w:t xml:space="preserve">conflict of </w:t>
      </w:r>
      <w:r w:rsidR="001D0EBF" w:rsidRPr="000F6BA7">
        <w:t>interest</w:t>
      </w:r>
      <w:r w:rsidR="008D2F37" w:rsidRPr="000F6BA7">
        <w:t xml:space="preserve">, gift policies, incompatibilities, post-employment restrictions etc.; </w:t>
      </w:r>
      <w:r w:rsidR="001D0EBF" w:rsidRPr="000F6BA7">
        <w:t>Anti</w:t>
      </w:r>
      <w:r w:rsidR="008D2F37" w:rsidRPr="000F6BA7">
        <w:t>-C</w:t>
      </w:r>
      <w:r w:rsidR="001D0EBF" w:rsidRPr="000F6BA7">
        <w:t xml:space="preserve">orruption </w:t>
      </w:r>
      <w:r w:rsidR="008D2F37" w:rsidRPr="000F6BA7">
        <w:t>S</w:t>
      </w:r>
      <w:r w:rsidR="001D0EBF" w:rsidRPr="000F6BA7">
        <w:t xml:space="preserve">trategy </w:t>
      </w:r>
      <w:r w:rsidR="008D2F37" w:rsidRPr="000F6BA7">
        <w:t xml:space="preserve">and State Anti-Corruption Program </w:t>
      </w:r>
      <w:r w:rsidR="001D0EBF" w:rsidRPr="000F6BA7">
        <w:t>implementation,</w:t>
      </w:r>
      <w:r w:rsidR="0034019F" w:rsidRPr="000F6BA7">
        <w:t xml:space="preserve"> </w:t>
      </w:r>
      <w:r w:rsidR="008D2F37" w:rsidRPr="000F6BA7">
        <w:t xml:space="preserve">oversight in the area of </w:t>
      </w:r>
      <w:r w:rsidR="0034019F" w:rsidRPr="000F6BA7">
        <w:t>lobbying, whistle-blower protection,</w:t>
      </w:r>
      <w:r w:rsidR="001D0EBF" w:rsidRPr="000F6BA7">
        <w:t xml:space="preserve"> etc. </w:t>
      </w:r>
    </w:p>
    <w:p w14:paraId="2FA26421" w14:textId="6AE9BCEF" w:rsidR="006441B5" w:rsidRPr="000F6BA7" w:rsidRDefault="00710C34" w:rsidP="000F6BA7">
      <w:pPr>
        <w:pStyle w:val="NormalWeb"/>
        <w:numPr>
          <w:ilvl w:val="0"/>
          <w:numId w:val="30"/>
        </w:numPr>
        <w:spacing w:after="0" w:afterAutospacing="0"/>
        <w:ind w:left="709"/>
      </w:pPr>
      <w:r w:rsidRPr="000F6BA7">
        <w:rPr>
          <w:lang w:val="en-US"/>
        </w:rPr>
        <w:t>Studies related to repression of corruption, e</w:t>
      </w:r>
      <w:r w:rsidR="008D2F37" w:rsidRPr="000F6BA7">
        <w:rPr>
          <w:lang w:val="en-US"/>
        </w:rPr>
        <w:t>.</w:t>
      </w:r>
      <w:r w:rsidRPr="000F6BA7">
        <w:rPr>
          <w:lang w:val="en-US"/>
        </w:rPr>
        <w:t>g</w:t>
      </w:r>
      <w:r w:rsidR="008D2F37" w:rsidRPr="000F6BA7">
        <w:rPr>
          <w:lang w:val="en-US"/>
        </w:rPr>
        <w:t>.,</w:t>
      </w:r>
      <w:r w:rsidRPr="000F6BA7">
        <w:rPr>
          <w:lang w:val="en-US"/>
        </w:rPr>
        <w:t xml:space="preserve"> </w:t>
      </w:r>
      <w:r w:rsidR="008D2F37" w:rsidRPr="000F6BA7">
        <w:rPr>
          <w:lang w:val="en-US"/>
        </w:rPr>
        <w:t xml:space="preserve">about </w:t>
      </w:r>
      <w:r w:rsidRPr="000F6BA7">
        <w:rPr>
          <w:lang w:val="en-US"/>
        </w:rPr>
        <w:t>duration of pre</w:t>
      </w:r>
      <w:r w:rsidR="001D0EBF" w:rsidRPr="000F6BA7">
        <w:rPr>
          <w:lang w:val="en-US"/>
        </w:rPr>
        <w:t>-</w:t>
      </w:r>
      <w:r w:rsidRPr="000F6BA7">
        <w:rPr>
          <w:lang w:val="en-US"/>
        </w:rPr>
        <w:t>trial investigations</w:t>
      </w:r>
      <w:r w:rsidR="008D2F37" w:rsidRPr="000F6BA7">
        <w:rPr>
          <w:lang w:val="en-US"/>
        </w:rPr>
        <w:t>,</w:t>
      </w:r>
      <w:r w:rsidR="008B512D" w:rsidRPr="000F6BA7">
        <w:rPr>
          <w:lang w:val="en-US"/>
        </w:rPr>
        <w:t xml:space="preserve"> </w:t>
      </w:r>
      <w:r w:rsidRPr="000F6BA7">
        <w:rPr>
          <w:lang w:val="en-US"/>
        </w:rPr>
        <w:t xml:space="preserve">statute of limitations, disposition time in courts, </w:t>
      </w:r>
      <w:r w:rsidR="008D2F37" w:rsidRPr="000F6BA7">
        <w:rPr>
          <w:lang w:val="en-US"/>
        </w:rPr>
        <w:t xml:space="preserve">legal and practical measures to </w:t>
      </w:r>
      <w:r w:rsidRPr="000F6BA7">
        <w:rPr>
          <w:lang w:val="en-US"/>
        </w:rPr>
        <w:t xml:space="preserve">preventing delays and streamlining the efficiency of criminal trials; analysis of </w:t>
      </w:r>
      <w:r w:rsidR="008B512D" w:rsidRPr="000F6BA7">
        <w:rPr>
          <w:lang w:val="en-US"/>
        </w:rPr>
        <w:t xml:space="preserve">unity of court practice, including </w:t>
      </w:r>
      <w:r w:rsidRPr="000F6BA7">
        <w:rPr>
          <w:lang w:val="en-US"/>
        </w:rPr>
        <w:t xml:space="preserve">judicial practice </w:t>
      </w:r>
      <w:r w:rsidR="006441B5" w:rsidRPr="000F6BA7">
        <w:rPr>
          <w:lang w:val="en-US"/>
        </w:rPr>
        <w:t xml:space="preserve">of plea </w:t>
      </w:r>
      <w:r w:rsidR="00A65AAE" w:rsidRPr="000F6BA7">
        <w:rPr>
          <w:lang w:val="en-US"/>
        </w:rPr>
        <w:t>agreements</w:t>
      </w:r>
      <w:r w:rsidR="006441B5" w:rsidRPr="000F6BA7">
        <w:rPr>
          <w:lang w:val="en-US"/>
        </w:rPr>
        <w:t xml:space="preserve"> and applied </w:t>
      </w:r>
      <w:r w:rsidR="00EF7795" w:rsidRPr="000F6BA7">
        <w:rPr>
          <w:lang w:val="en-US"/>
        </w:rPr>
        <w:t xml:space="preserve">criminal </w:t>
      </w:r>
      <w:r w:rsidR="006441B5" w:rsidRPr="000F6BA7">
        <w:rPr>
          <w:lang w:val="en-US"/>
        </w:rPr>
        <w:t>sanctions</w:t>
      </w:r>
      <w:r w:rsidRPr="000F6BA7">
        <w:rPr>
          <w:lang w:val="en-US"/>
        </w:rPr>
        <w:t>, etc.</w:t>
      </w:r>
    </w:p>
    <w:p w14:paraId="7E7E68C3" w14:textId="60242232" w:rsidR="00DA3CB3" w:rsidRPr="000F6BA7" w:rsidRDefault="00DA3CB3" w:rsidP="000F6BA7">
      <w:pPr>
        <w:pStyle w:val="ListParagraph"/>
        <w:numPr>
          <w:ilvl w:val="0"/>
          <w:numId w:val="27"/>
        </w:numPr>
        <w:spacing w:after="200" w:line="240" w:lineRule="auto"/>
        <w:ind w:left="709"/>
        <w:jc w:val="both"/>
        <w:rPr>
          <w:rFonts w:ascii="Times New Roman" w:hAnsi="Times New Roman" w:cs="Times New Roman"/>
          <w:sz w:val="24"/>
          <w:szCs w:val="24"/>
        </w:rPr>
      </w:pPr>
      <w:r w:rsidRPr="000F6BA7">
        <w:rPr>
          <w:rFonts w:ascii="Times New Roman" w:hAnsi="Times New Roman" w:cs="Times New Roman"/>
          <w:sz w:val="24"/>
          <w:szCs w:val="24"/>
        </w:rPr>
        <w:t>Strengthening the institutional capacity, effectiveness, and independence of specialised anti-corruption institutions</w:t>
      </w:r>
      <w:r w:rsidR="006441B5" w:rsidRPr="000F6BA7">
        <w:rPr>
          <w:rFonts w:ascii="Times New Roman" w:hAnsi="Times New Roman" w:cs="Times New Roman"/>
          <w:sz w:val="24"/>
          <w:szCs w:val="24"/>
          <w:lang w:val="en-GB"/>
        </w:rPr>
        <w:t xml:space="preserve">, including </w:t>
      </w:r>
      <w:r w:rsidR="001D0EBF" w:rsidRPr="000F6BA7">
        <w:rPr>
          <w:rFonts w:ascii="Times New Roman" w:hAnsi="Times New Roman" w:cs="Times New Roman"/>
          <w:sz w:val="24"/>
          <w:szCs w:val="24"/>
          <w:lang w:val="en-GB"/>
        </w:rPr>
        <w:t xml:space="preserve">through strengthening framework for independent external </w:t>
      </w:r>
      <w:r w:rsidR="00EF7795" w:rsidRPr="000F6BA7">
        <w:rPr>
          <w:rFonts w:ascii="Times New Roman" w:hAnsi="Times New Roman" w:cs="Times New Roman"/>
          <w:sz w:val="24"/>
          <w:szCs w:val="24"/>
          <w:lang w:val="en-GB"/>
        </w:rPr>
        <w:t xml:space="preserve">effectiveness </w:t>
      </w:r>
      <w:r w:rsidR="001D0EBF" w:rsidRPr="000F6BA7">
        <w:rPr>
          <w:rFonts w:ascii="Times New Roman" w:hAnsi="Times New Roman" w:cs="Times New Roman"/>
          <w:sz w:val="24"/>
          <w:szCs w:val="24"/>
          <w:lang w:val="en-GB"/>
        </w:rPr>
        <w:t>assessments</w:t>
      </w:r>
      <w:r w:rsidR="006441B5" w:rsidRPr="000F6BA7">
        <w:rPr>
          <w:rFonts w:ascii="Times New Roman" w:hAnsi="Times New Roman" w:cs="Times New Roman"/>
          <w:sz w:val="24"/>
          <w:szCs w:val="24"/>
          <w:lang w:val="en-GB"/>
        </w:rPr>
        <w:t xml:space="preserve">, </w:t>
      </w:r>
      <w:r w:rsidR="001D0EBF" w:rsidRPr="000F6BA7">
        <w:rPr>
          <w:rFonts w:ascii="Times New Roman" w:hAnsi="Times New Roman" w:cs="Times New Roman"/>
          <w:sz w:val="24"/>
          <w:szCs w:val="24"/>
          <w:lang w:val="en-GB"/>
        </w:rPr>
        <w:t>selection processes</w:t>
      </w:r>
      <w:r w:rsidR="006441B5" w:rsidRPr="000F6BA7">
        <w:rPr>
          <w:rFonts w:ascii="Times New Roman" w:hAnsi="Times New Roman" w:cs="Times New Roman"/>
          <w:sz w:val="24"/>
          <w:szCs w:val="24"/>
          <w:lang w:val="en-GB"/>
        </w:rPr>
        <w:t xml:space="preserve">, </w:t>
      </w:r>
      <w:r w:rsidR="0034019F" w:rsidRPr="000F6BA7">
        <w:rPr>
          <w:rFonts w:ascii="Times New Roman" w:hAnsi="Times New Roman" w:cs="Times New Roman"/>
          <w:sz w:val="24"/>
          <w:szCs w:val="24"/>
          <w:lang w:val="en-GB"/>
        </w:rPr>
        <w:t xml:space="preserve">internal control, </w:t>
      </w:r>
      <w:r w:rsidR="001D0EBF" w:rsidRPr="000F6BA7">
        <w:rPr>
          <w:rFonts w:ascii="Times New Roman" w:hAnsi="Times New Roman" w:cs="Times New Roman"/>
          <w:sz w:val="24"/>
          <w:szCs w:val="24"/>
          <w:lang w:val="en-GB"/>
        </w:rPr>
        <w:t xml:space="preserve">civic </w:t>
      </w:r>
      <w:r w:rsidR="006441B5" w:rsidRPr="000F6BA7">
        <w:rPr>
          <w:rFonts w:ascii="Times New Roman" w:hAnsi="Times New Roman" w:cs="Times New Roman"/>
          <w:sz w:val="24"/>
          <w:szCs w:val="24"/>
          <w:lang w:val="en-GB"/>
        </w:rPr>
        <w:t>oversight mechanisms,</w:t>
      </w:r>
      <w:r w:rsidR="001D0EBF" w:rsidRPr="000F6BA7">
        <w:rPr>
          <w:rFonts w:ascii="Times New Roman" w:hAnsi="Times New Roman" w:cs="Times New Roman"/>
          <w:sz w:val="24"/>
          <w:szCs w:val="24"/>
          <w:lang w:val="en-GB"/>
        </w:rPr>
        <w:t xml:space="preserve"> </w:t>
      </w:r>
      <w:r w:rsidR="00710C34" w:rsidRPr="000F6BA7">
        <w:rPr>
          <w:rFonts w:ascii="Times New Roman" w:hAnsi="Times New Roman" w:cs="Times New Roman"/>
          <w:sz w:val="24"/>
          <w:szCs w:val="24"/>
          <w:lang w:val="en-US"/>
        </w:rPr>
        <w:t xml:space="preserve">ensuring timely access to independent </w:t>
      </w:r>
      <w:r w:rsidR="00EF7795" w:rsidRPr="000F6BA7">
        <w:rPr>
          <w:rFonts w:ascii="Times New Roman" w:hAnsi="Times New Roman" w:cs="Times New Roman"/>
          <w:sz w:val="24"/>
          <w:szCs w:val="24"/>
          <w:lang w:val="en-US"/>
        </w:rPr>
        <w:t xml:space="preserve">and high-quality </w:t>
      </w:r>
      <w:r w:rsidR="00710C34" w:rsidRPr="000F6BA7">
        <w:rPr>
          <w:rFonts w:ascii="Times New Roman" w:hAnsi="Times New Roman" w:cs="Times New Roman"/>
          <w:sz w:val="24"/>
          <w:szCs w:val="24"/>
          <w:lang w:val="en-US"/>
        </w:rPr>
        <w:t>forensic examinations in high-level corruption cases</w:t>
      </w:r>
      <w:r w:rsidR="001D0EBF" w:rsidRPr="000F6BA7">
        <w:rPr>
          <w:rFonts w:ascii="Times New Roman" w:hAnsi="Times New Roman" w:cs="Times New Roman"/>
          <w:sz w:val="24"/>
          <w:szCs w:val="24"/>
          <w:lang w:val="en-US"/>
        </w:rPr>
        <w:t>, etc.</w:t>
      </w:r>
    </w:p>
    <w:p w14:paraId="1DC965C6" w14:textId="0F63B823" w:rsidR="00E105BB" w:rsidRPr="000F6BA7" w:rsidRDefault="0034019F" w:rsidP="000F6BA7">
      <w:pPr>
        <w:pStyle w:val="ListParagraph"/>
        <w:numPr>
          <w:ilvl w:val="0"/>
          <w:numId w:val="27"/>
        </w:numPr>
        <w:spacing w:after="200" w:line="240" w:lineRule="auto"/>
        <w:ind w:left="709"/>
        <w:jc w:val="both"/>
        <w:rPr>
          <w:rFonts w:ascii="Times New Roman" w:hAnsi="Times New Roman" w:cs="Times New Roman"/>
          <w:sz w:val="24"/>
          <w:szCs w:val="24"/>
        </w:rPr>
      </w:pPr>
      <w:r w:rsidRPr="000F6BA7">
        <w:rPr>
          <w:rFonts w:ascii="Times New Roman" w:hAnsi="Times New Roman" w:cs="Times New Roman"/>
          <w:sz w:val="24"/>
          <w:szCs w:val="24"/>
          <w:lang w:val="en-GB"/>
        </w:rPr>
        <w:t>Studies on issues related to</w:t>
      </w:r>
      <w:r w:rsidR="00E105BB" w:rsidRPr="000F6BA7">
        <w:rPr>
          <w:rFonts w:ascii="Times New Roman" w:hAnsi="Times New Roman" w:cs="Times New Roman"/>
          <w:sz w:val="24"/>
          <w:szCs w:val="24"/>
        </w:rPr>
        <w:t xml:space="preserve"> strengthening integrity, transparency, and accountability standards in the Parliament of Ukraine</w:t>
      </w:r>
      <w:r w:rsidRPr="000F6BA7">
        <w:rPr>
          <w:rFonts w:ascii="Times New Roman" w:hAnsi="Times New Roman" w:cs="Times New Roman"/>
          <w:sz w:val="24"/>
          <w:szCs w:val="24"/>
          <w:lang w:val="en-GB"/>
        </w:rPr>
        <w:t>.</w:t>
      </w:r>
    </w:p>
    <w:p w14:paraId="05A889AF" w14:textId="77777777" w:rsidR="00DA3CB3" w:rsidRPr="000F6BA7" w:rsidRDefault="00DA3CB3" w:rsidP="000F6BA7">
      <w:pPr>
        <w:pStyle w:val="NormalWeb"/>
        <w:rPr>
          <w:b/>
          <w:bCs/>
        </w:rPr>
      </w:pPr>
      <w:r w:rsidRPr="000F6BA7">
        <w:rPr>
          <w:b/>
          <w:bCs/>
        </w:rPr>
        <w:t>Projects are expected to deliver:</w:t>
      </w:r>
    </w:p>
    <w:p w14:paraId="42318F0D" w14:textId="77777777" w:rsidR="00A21CCF" w:rsidRPr="000F6BA7" w:rsidRDefault="00DA3CB3" w:rsidP="000F6BA7">
      <w:pPr>
        <w:pStyle w:val="NormalWeb"/>
        <w:numPr>
          <w:ilvl w:val="0"/>
          <w:numId w:val="21"/>
        </w:numPr>
        <w:rPr>
          <w:color w:val="000000" w:themeColor="text1"/>
        </w:rPr>
      </w:pPr>
      <w:r w:rsidRPr="000F6BA7">
        <w:rPr>
          <w:color w:val="000000" w:themeColor="text1"/>
        </w:rPr>
        <w:t>High-quality research reports,</w:t>
      </w:r>
      <w:r w:rsidR="00A21CCF" w:rsidRPr="000F6BA7">
        <w:rPr>
          <w:color w:val="000000" w:themeColor="text1"/>
        </w:rPr>
        <w:t xml:space="preserve"> policy papers, shadow reports,</w:t>
      </w:r>
      <w:r w:rsidRPr="000F6BA7">
        <w:rPr>
          <w:color w:val="000000" w:themeColor="text1"/>
        </w:rPr>
        <w:t xml:space="preserve"> analytical briefs, or </w:t>
      </w:r>
      <w:r w:rsidR="00A21CCF" w:rsidRPr="000F6BA7">
        <w:rPr>
          <w:color w:val="000000" w:themeColor="text1"/>
        </w:rPr>
        <w:t xml:space="preserve">other analytical documents </w:t>
      </w:r>
      <w:r w:rsidRPr="000F6BA7">
        <w:rPr>
          <w:color w:val="000000" w:themeColor="text1"/>
        </w:rPr>
        <w:t>with clear findings, conclusions, and policy recommendations</w:t>
      </w:r>
      <w:r w:rsidR="00A21CCF" w:rsidRPr="000F6BA7">
        <w:rPr>
          <w:color w:val="000000" w:themeColor="text1"/>
        </w:rPr>
        <w:t xml:space="preserve"> related to thematic priorities mentioned above.</w:t>
      </w:r>
    </w:p>
    <w:p w14:paraId="3661E84B" w14:textId="12F3BE0B" w:rsidR="00DA3CB3" w:rsidRPr="000F6BA7" w:rsidRDefault="00A21CCF" w:rsidP="000F6BA7">
      <w:pPr>
        <w:numPr>
          <w:ilvl w:val="0"/>
          <w:numId w:val="21"/>
        </w:numPr>
        <w:spacing w:before="100" w:beforeAutospacing="1" w:after="100" w:afterAutospacing="1" w:line="240" w:lineRule="auto"/>
        <w:rPr>
          <w:rFonts w:ascii="Times New Roman" w:eastAsia="Times New Roman" w:hAnsi="Times New Roman" w:cs="Times New Roman"/>
          <w:sz w:val="24"/>
          <w:szCs w:val="24"/>
          <w:lang w:val="en-GB" w:eastAsia="en-GB"/>
        </w:rPr>
      </w:pPr>
      <w:r w:rsidRPr="000F6BA7">
        <w:rPr>
          <w:rFonts w:ascii="Times New Roman" w:eastAsia="Times New Roman" w:hAnsi="Times New Roman" w:cs="Times New Roman"/>
          <w:sz w:val="24"/>
          <w:szCs w:val="24"/>
          <w:lang w:val="en-GB" w:eastAsia="en-GB"/>
        </w:rPr>
        <w:t>Dissemination activities (workshops, presentations, expert engagement, stakeholder engagement, advocacy meeting)</w:t>
      </w:r>
      <w:r w:rsidR="00E105BB" w:rsidRPr="000F6BA7">
        <w:rPr>
          <w:rFonts w:ascii="Times New Roman" w:eastAsia="Times New Roman" w:hAnsi="Times New Roman" w:cs="Times New Roman"/>
          <w:sz w:val="24"/>
          <w:szCs w:val="24"/>
          <w:lang w:val="en-GB" w:eastAsia="en-GB"/>
        </w:rPr>
        <w:t xml:space="preserve"> in Ukraine and EU.</w:t>
      </w:r>
    </w:p>
    <w:p w14:paraId="25B204EC" w14:textId="259C28DE" w:rsidR="00A21CCF" w:rsidRPr="000F6BA7" w:rsidRDefault="00A21CCF" w:rsidP="000F6BA7">
      <w:pPr>
        <w:numPr>
          <w:ilvl w:val="0"/>
          <w:numId w:val="21"/>
        </w:numPr>
        <w:spacing w:before="100" w:beforeAutospacing="1" w:after="100" w:afterAutospacing="1" w:line="240" w:lineRule="auto"/>
        <w:rPr>
          <w:rFonts w:ascii="Times New Roman" w:eastAsia="Times New Roman" w:hAnsi="Times New Roman" w:cs="Times New Roman"/>
          <w:sz w:val="24"/>
          <w:szCs w:val="24"/>
          <w:lang w:val="en-GB" w:eastAsia="en-GB"/>
        </w:rPr>
      </w:pPr>
      <w:r w:rsidRPr="000F6BA7">
        <w:rPr>
          <w:rFonts w:ascii="Times New Roman" w:eastAsia="Times New Roman" w:hAnsi="Times New Roman" w:cs="Times New Roman"/>
          <w:sz w:val="24"/>
          <w:szCs w:val="24"/>
          <w:lang w:val="en-GB" w:eastAsia="en-GB"/>
        </w:rPr>
        <w:t xml:space="preserve">Advocacy activities aimed at promoting findings </w:t>
      </w:r>
      <w:r w:rsidR="00E105BB" w:rsidRPr="000F6BA7">
        <w:rPr>
          <w:rFonts w:ascii="Times New Roman" w:eastAsia="Times New Roman" w:hAnsi="Times New Roman" w:cs="Times New Roman"/>
          <w:sz w:val="24"/>
          <w:szCs w:val="24"/>
          <w:lang w:val="en-GB" w:eastAsia="en-GB"/>
        </w:rPr>
        <w:t>outlined in analytical documents developed.</w:t>
      </w:r>
    </w:p>
    <w:p w14:paraId="76255EE5" w14:textId="0D28DED3" w:rsidR="000719FA" w:rsidRPr="000F6BA7" w:rsidRDefault="000719FA" w:rsidP="000F6BA7">
      <w:pPr>
        <w:pStyle w:val="NormalWeb"/>
      </w:pPr>
      <w:r w:rsidRPr="000F6BA7">
        <w:t>All applications must have a strong anti-corruption focus.</w:t>
      </w:r>
    </w:p>
    <w:p w14:paraId="34141BFA" w14:textId="77777777" w:rsidR="00660D6D" w:rsidRPr="000F6BA7" w:rsidRDefault="00660D6D" w:rsidP="000F6BA7">
      <w:pPr>
        <w:pStyle w:val="NormalWeb"/>
      </w:pPr>
      <w:r w:rsidRPr="000F6BA7">
        <w:lastRenderedPageBreak/>
        <w:t>It is expected that communication and advocacy campaigns will be included as part of the project</w:t>
      </w:r>
    </w:p>
    <w:p w14:paraId="683F90B7" w14:textId="77777777" w:rsidR="0065480F" w:rsidRPr="000F6BA7" w:rsidRDefault="0065480F" w:rsidP="000F6BA7">
      <w:pPr>
        <w:pStyle w:val="NormalWeb"/>
        <w:jc w:val="both"/>
        <w:rPr>
          <w:rStyle w:val="Strong"/>
        </w:rPr>
      </w:pPr>
      <w:r w:rsidRPr="000F6BA7">
        <w:rPr>
          <w:rStyle w:val="Strong"/>
        </w:rPr>
        <w:t>Geographic Scope:</w:t>
      </w:r>
    </w:p>
    <w:p w14:paraId="699F9A4A" w14:textId="75079184" w:rsidR="0065480F" w:rsidRPr="000F6BA7" w:rsidRDefault="0065480F" w:rsidP="000F6BA7">
      <w:pPr>
        <w:pStyle w:val="NormalWeb"/>
        <w:jc w:val="both"/>
      </w:pPr>
      <w:r w:rsidRPr="000F6BA7">
        <w:t>Applications are welcome from all regions.</w:t>
      </w:r>
    </w:p>
    <w:p w14:paraId="7AA3BCF8" w14:textId="77777777" w:rsidR="0065480F" w:rsidRPr="000F6BA7" w:rsidRDefault="0065480F" w:rsidP="000F6BA7">
      <w:pPr>
        <w:spacing w:after="200" w:line="240" w:lineRule="auto"/>
        <w:rPr>
          <w:rFonts w:ascii="Times New Roman" w:eastAsia="Times New Roman" w:hAnsi="Times New Roman" w:cs="Times New Roman"/>
          <w:b/>
          <w:bCs/>
          <w:sz w:val="24"/>
          <w:szCs w:val="24"/>
          <w:lang w:val="en-GB"/>
        </w:rPr>
      </w:pPr>
      <w:r w:rsidRPr="000F6BA7">
        <w:rPr>
          <w:rFonts w:ascii="Times New Roman" w:eastAsia="Times New Roman" w:hAnsi="Times New Roman" w:cs="Times New Roman"/>
          <w:b/>
          <w:bCs/>
          <w:sz w:val="24"/>
          <w:szCs w:val="24"/>
          <w:lang w:val="en-GB"/>
        </w:rPr>
        <w:t xml:space="preserve">Budget: </w:t>
      </w:r>
    </w:p>
    <w:p w14:paraId="29DE5D60" w14:textId="52B0ED36" w:rsidR="0065480F" w:rsidRPr="000F6BA7" w:rsidRDefault="0065480F" w:rsidP="000F6BA7">
      <w:pPr>
        <w:pStyle w:val="NormalWeb"/>
        <w:rPr>
          <w:rStyle w:val="Strong"/>
        </w:rPr>
      </w:pPr>
      <w:r w:rsidRPr="000F6BA7">
        <w:t xml:space="preserve">Total budget of the call: </w:t>
      </w:r>
      <w:r w:rsidRPr="000F6BA7">
        <w:rPr>
          <w:rStyle w:val="Strong"/>
        </w:rPr>
        <w:t>EUR 170,000.</w:t>
      </w:r>
    </w:p>
    <w:p w14:paraId="0F2813D3" w14:textId="21C1FB9C" w:rsidR="0065480F" w:rsidRPr="0065480F" w:rsidRDefault="0065480F" w:rsidP="000F6BA7">
      <w:pPr>
        <w:pStyle w:val="NormalWeb"/>
      </w:pPr>
      <w:r w:rsidRPr="0065480F">
        <w:t xml:space="preserve">Applicants are encouraged to propose projects with a budget of approximately </w:t>
      </w:r>
      <w:r w:rsidRPr="0065480F">
        <w:rPr>
          <w:b/>
          <w:bCs/>
        </w:rPr>
        <w:t>EUR 50,000</w:t>
      </w:r>
      <w:r w:rsidRPr="0065480F">
        <w:t xml:space="preserve">. The maximum grant amount per project is </w:t>
      </w:r>
      <w:r w:rsidRPr="0065480F">
        <w:rPr>
          <w:b/>
          <w:bCs/>
        </w:rPr>
        <w:t>EUR 70,000.</w:t>
      </w:r>
    </w:p>
    <w:p w14:paraId="0F8D4665" w14:textId="7C212621" w:rsidR="0065480F" w:rsidRPr="000F6BA7" w:rsidRDefault="0065480F" w:rsidP="000F6BA7">
      <w:pPr>
        <w:spacing w:before="100" w:beforeAutospacing="1" w:after="100" w:afterAutospacing="1" w:line="240" w:lineRule="auto"/>
        <w:rPr>
          <w:rFonts w:ascii="Times New Roman" w:eastAsia="Times New Roman" w:hAnsi="Times New Roman" w:cs="Times New Roman"/>
          <w:sz w:val="24"/>
          <w:szCs w:val="24"/>
          <w:lang w:val="en-GB" w:eastAsia="en-GB"/>
        </w:rPr>
      </w:pPr>
      <w:r w:rsidRPr="0065480F">
        <w:rPr>
          <w:rFonts w:ascii="Times New Roman" w:eastAsia="Times New Roman" w:hAnsi="Times New Roman" w:cs="Times New Roman"/>
          <w:sz w:val="24"/>
          <w:szCs w:val="24"/>
          <w:lang w:val="en-GB" w:eastAsia="en-GB"/>
        </w:rPr>
        <w:t>It is expected that 2–3 projects will be selected for funding under this call.</w:t>
      </w:r>
    </w:p>
    <w:p w14:paraId="640A0494" w14:textId="6DACC462" w:rsidR="0065480F" w:rsidRPr="000F6BA7" w:rsidRDefault="0065480F" w:rsidP="000F6BA7">
      <w:pPr>
        <w:spacing w:before="100" w:beforeAutospacing="1" w:after="100" w:afterAutospacing="1" w:line="240" w:lineRule="auto"/>
        <w:rPr>
          <w:rFonts w:ascii="Times New Roman" w:eastAsia="Times New Roman" w:hAnsi="Times New Roman" w:cs="Times New Roman"/>
          <w:sz w:val="24"/>
          <w:szCs w:val="24"/>
          <w:lang w:val="en-GB" w:eastAsia="en-GB"/>
        </w:rPr>
      </w:pPr>
      <w:r w:rsidRPr="000F6BA7">
        <w:rPr>
          <w:rFonts w:ascii="Times New Roman" w:eastAsia="Times New Roman" w:hAnsi="Times New Roman" w:cs="Times New Roman"/>
          <w:sz w:val="24"/>
          <w:szCs w:val="24"/>
          <w:lang w:val="en-GB" w:eastAsia="en-GB"/>
        </w:rPr>
        <w:t xml:space="preserve">Implementation period: </w:t>
      </w:r>
      <w:r w:rsidR="003E67E7" w:rsidRPr="000F6BA7">
        <w:rPr>
          <w:rFonts w:ascii="Times New Roman" w:eastAsia="Times New Roman" w:hAnsi="Times New Roman" w:cs="Times New Roman"/>
          <w:b/>
          <w:bCs/>
          <w:sz w:val="24"/>
          <w:szCs w:val="24"/>
          <w:lang w:val="en-GB" w:eastAsia="en-GB"/>
        </w:rPr>
        <w:t xml:space="preserve">01 </w:t>
      </w:r>
      <w:r w:rsidR="00660D6D" w:rsidRPr="000F6BA7">
        <w:rPr>
          <w:rFonts w:ascii="Times New Roman" w:eastAsia="Times New Roman" w:hAnsi="Times New Roman" w:cs="Times New Roman"/>
          <w:b/>
          <w:bCs/>
          <w:sz w:val="24"/>
          <w:szCs w:val="24"/>
          <w:lang w:val="en-GB" w:eastAsia="en-GB"/>
        </w:rPr>
        <w:t>Ju</w:t>
      </w:r>
      <w:r w:rsidR="003E67E7" w:rsidRPr="000F6BA7">
        <w:rPr>
          <w:rFonts w:ascii="Times New Roman" w:eastAsia="Times New Roman" w:hAnsi="Times New Roman" w:cs="Times New Roman"/>
          <w:b/>
          <w:bCs/>
          <w:sz w:val="24"/>
          <w:szCs w:val="24"/>
          <w:lang w:val="en-GB" w:eastAsia="en-GB"/>
        </w:rPr>
        <w:t>ly</w:t>
      </w:r>
      <w:r w:rsidRPr="000F6BA7">
        <w:rPr>
          <w:rFonts w:ascii="Times New Roman" w:eastAsia="Times New Roman" w:hAnsi="Times New Roman" w:cs="Times New Roman"/>
          <w:b/>
          <w:bCs/>
          <w:sz w:val="24"/>
          <w:szCs w:val="24"/>
          <w:lang w:val="en-GB" w:eastAsia="en-GB"/>
        </w:rPr>
        <w:t xml:space="preserve"> 2026 –</w:t>
      </w:r>
      <w:r w:rsidR="003E67E7" w:rsidRPr="000F6BA7">
        <w:rPr>
          <w:rFonts w:ascii="Times New Roman" w:eastAsia="Times New Roman" w:hAnsi="Times New Roman" w:cs="Times New Roman"/>
          <w:b/>
          <w:bCs/>
          <w:sz w:val="24"/>
          <w:szCs w:val="24"/>
          <w:lang w:val="en-GB" w:eastAsia="en-GB"/>
        </w:rPr>
        <w:t xml:space="preserve"> 01 </w:t>
      </w:r>
      <w:r w:rsidRPr="000F6BA7">
        <w:rPr>
          <w:rFonts w:ascii="Times New Roman" w:eastAsia="Times New Roman" w:hAnsi="Times New Roman" w:cs="Times New Roman"/>
          <w:b/>
          <w:bCs/>
          <w:sz w:val="24"/>
          <w:szCs w:val="24"/>
          <w:lang w:val="en-GB" w:eastAsia="en-GB"/>
        </w:rPr>
        <w:t>March 2027</w:t>
      </w:r>
    </w:p>
    <w:p w14:paraId="6F5E81D2" w14:textId="77777777" w:rsidR="0065480F" w:rsidRPr="000F6BA7" w:rsidRDefault="0065480F" w:rsidP="000F6BA7">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lang w:val="en-GB" w:eastAsia="en-GB"/>
        </w:rPr>
      </w:pPr>
      <w:r w:rsidRPr="000F6BA7">
        <w:rPr>
          <w:rFonts w:ascii="Times New Roman" w:eastAsia="Times New Roman" w:hAnsi="Times New Roman" w:cs="Times New Roman"/>
          <w:sz w:val="24"/>
          <w:szCs w:val="24"/>
          <w:lang w:val="en-GB" w:eastAsia="en-GB"/>
        </w:rPr>
        <w:t>Project duration may vary depending on proposed activities but must fall within the indicated timeframe.</w:t>
      </w:r>
    </w:p>
    <w:p w14:paraId="04E50A91" w14:textId="5B88C0CD" w:rsidR="0065480F" w:rsidRPr="000F6BA7" w:rsidRDefault="0065480F" w:rsidP="000F6BA7">
      <w:p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3. Eligibility criteria</w:t>
      </w:r>
    </w:p>
    <w:p w14:paraId="61D2FDB8" w14:textId="77777777" w:rsidR="0065480F" w:rsidRPr="000F6BA7" w:rsidRDefault="0065480F" w:rsidP="000F6BA7">
      <w:pPr>
        <w:pStyle w:val="NormalWeb"/>
        <w:jc w:val="both"/>
      </w:pPr>
      <w:r w:rsidRPr="000F6BA7">
        <w:t>Applicants must:</w:t>
      </w:r>
    </w:p>
    <w:p w14:paraId="765C59A7" w14:textId="39F0C88C" w:rsidR="0065480F" w:rsidRPr="000F6BA7" w:rsidRDefault="0065480F" w:rsidP="000F6BA7">
      <w:pPr>
        <w:numPr>
          <w:ilvl w:val="0"/>
          <w:numId w:val="33"/>
        </w:numPr>
        <w:spacing w:after="0" w:line="240" w:lineRule="auto"/>
        <w:jc w:val="both"/>
        <w:rPr>
          <w:rFonts w:ascii="Times New Roman" w:eastAsia="Times New Roman" w:hAnsi="Times New Roman" w:cs="Times New Roman"/>
          <w:color w:val="0E101A"/>
          <w:sz w:val="24"/>
          <w:szCs w:val="24"/>
        </w:rPr>
      </w:pPr>
      <w:r w:rsidRPr="000F6BA7">
        <w:rPr>
          <w:rFonts w:ascii="Times New Roman" w:eastAsia="Times New Roman" w:hAnsi="Times New Roman" w:cs="Times New Roman"/>
          <w:color w:val="0E101A"/>
          <w:sz w:val="24"/>
          <w:szCs w:val="24"/>
          <w:lang w:val="en-US"/>
        </w:rPr>
        <w:t>B</w:t>
      </w:r>
      <w:r w:rsidRPr="000F6BA7">
        <w:rPr>
          <w:rFonts w:ascii="Times New Roman" w:eastAsia="Times New Roman" w:hAnsi="Times New Roman" w:cs="Times New Roman"/>
          <w:color w:val="0E101A"/>
          <w:sz w:val="24"/>
          <w:szCs w:val="24"/>
        </w:rPr>
        <w:t>e a legal entity officially registered according to Ukrainian legislation</w:t>
      </w:r>
      <w:r w:rsidR="0065560B">
        <w:rPr>
          <w:rFonts w:ascii="Times New Roman" w:eastAsia="Times New Roman" w:hAnsi="Times New Roman" w:cs="Times New Roman"/>
          <w:color w:val="0E101A"/>
          <w:sz w:val="24"/>
          <w:szCs w:val="24"/>
          <w:lang w:val="en-GB"/>
        </w:rPr>
        <w:t>.</w:t>
      </w:r>
    </w:p>
    <w:p w14:paraId="4FE84564" w14:textId="77777777" w:rsidR="0065480F" w:rsidRPr="000F6BA7" w:rsidRDefault="0065480F" w:rsidP="000F6BA7">
      <w:pPr>
        <w:numPr>
          <w:ilvl w:val="0"/>
          <w:numId w:val="33"/>
        </w:numPr>
        <w:spacing w:after="0" w:line="240" w:lineRule="auto"/>
        <w:jc w:val="both"/>
        <w:rPr>
          <w:rFonts w:ascii="Times New Roman" w:eastAsia="Times New Roman" w:hAnsi="Times New Roman" w:cs="Times New Roman"/>
          <w:color w:val="0E101A"/>
          <w:sz w:val="24"/>
          <w:szCs w:val="24"/>
        </w:rPr>
      </w:pPr>
      <w:r w:rsidRPr="000F6BA7">
        <w:rPr>
          <w:rFonts w:ascii="Times New Roman" w:eastAsia="Times New Roman" w:hAnsi="Times New Roman" w:cs="Times New Roman"/>
          <w:color w:val="0E101A"/>
          <w:sz w:val="24"/>
          <w:szCs w:val="24"/>
          <w:lang w:val="en-US"/>
        </w:rPr>
        <w:t>B</w:t>
      </w:r>
      <w:r w:rsidRPr="000F6BA7">
        <w:rPr>
          <w:rFonts w:ascii="Times New Roman" w:eastAsia="Times New Roman" w:hAnsi="Times New Roman" w:cs="Times New Roman"/>
          <w:color w:val="0E101A"/>
          <w:sz w:val="24"/>
          <w:szCs w:val="24"/>
        </w:rPr>
        <w:t>e a nonprofit civil society organization with codes 0032, 0034, 0036, 0038, 0039.</w:t>
      </w:r>
    </w:p>
    <w:p w14:paraId="1CBAF28F" w14:textId="654A81F1" w:rsidR="0065480F" w:rsidRPr="000F6BA7" w:rsidRDefault="0065480F" w:rsidP="000F6BA7">
      <w:pPr>
        <w:numPr>
          <w:ilvl w:val="0"/>
          <w:numId w:val="33"/>
        </w:numPr>
        <w:spacing w:after="0" w:line="240" w:lineRule="auto"/>
        <w:jc w:val="both"/>
        <w:rPr>
          <w:rFonts w:ascii="Times New Roman" w:eastAsia="Times New Roman" w:hAnsi="Times New Roman" w:cs="Times New Roman"/>
          <w:color w:val="0E101A"/>
          <w:sz w:val="24"/>
          <w:szCs w:val="24"/>
        </w:rPr>
      </w:pPr>
      <w:r w:rsidRPr="000F6BA7">
        <w:rPr>
          <w:rFonts w:ascii="Times New Roman" w:eastAsia="Times New Roman" w:hAnsi="Times New Roman" w:cs="Times New Roman"/>
          <w:color w:val="0E101A"/>
          <w:sz w:val="24"/>
          <w:szCs w:val="24"/>
          <w:lang w:val="en-US"/>
        </w:rPr>
        <w:t>H</w:t>
      </w:r>
      <w:r w:rsidRPr="000F6BA7">
        <w:rPr>
          <w:rFonts w:ascii="Times New Roman" w:eastAsia="Times New Roman" w:hAnsi="Times New Roman" w:cs="Times New Roman"/>
          <w:color w:val="0E101A"/>
          <w:sz w:val="24"/>
          <w:szCs w:val="24"/>
        </w:rPr>
        <w:t xml:space="preserve">ave proven experience in </w:t>
      </w:r>
      <w:r w:rsidRPr="000F6BA7">
        <w:rPr>
          <w:rFonts w:ascii="Times New Roman" w:eastAsia="Times New Roman" w:hAnsi="Times New Roman" w:cs="Times New Roman"/>
          <w:color w:val="0E101A"/>
          <w:sz w:val="24"/>
          <w:szCs w:val="24"/>
          <w:lang w:val="en-US"/>
        </w:rPr>
        <w:t>the research</w:t>
      </w:r>
      <w:r w:rsidR="0065560B">
        <w:rPr>
          <w:rFonts w:ascii="Times New Roman" w:eastAsia="Times New Roman" w:hAnsi="Times New Roman" w:cs="Times New Roman"/>
          <w:color w:val="0E101A"/>
          <w:sz w:val="24"/>
          <w:szCs w:val="24"/>
          <w:lang w:val="en-US"/>
        </w:rPr>
        <w:t>.</w:t>
      </w:r>
    </w:p>
    <w:p w14:paraId="4AF81AA3" w14:textId="77777777" w:rsidR="0065480F" w:rsidRPr="000F6BA7" w:rsidRDefault="0065480F" w:rsidP="000F6BA7">
      <w:pPr>
        <w:numPr>
          <w:ilvl w:val="0"/>
          <w:numId w:val="33"/>
        </w:numPr>
        <w:spacing w:after="0" w:line="240" w:lineRule="auto"/>
        <w:jc w:val="both"/>
        <w:rPr>
          <w:rFonts w:ascii="Times New Roman" w:eastAsia="Times New Roman" w:hAnsi="Times New Roman" w:cs="Times New Roman"/>
          <w:color w:val="0E101A"/>
          <w:sz w:val="24"/>
          <w:szCs w:val="24"/>
          <w:lang w:val="en-GB"/>
        </w:rPr>
      </w:pPr>
      <w:r w:rsidRPr="000F6BA7">
        <w:rPr>
          <w:rFonts w:ascii="Times New Roman" w:eastAsia="Times New Roman" w:hAnsi="Times New Roman" w:cs="Times New Roman"/>
          <w:color w:val="0E101A"/>
          <w:sz w:val="24"/>
          <w:szCs w:val="24"/>
          <w:lang w:val="en-GB"/>
        </w:rPr>
        <w:t>Have proven organizational capacity to manage and implement grants.</w:t>
      </w:r>
    </w:p>
    <w:p w14:paraId="2B22AC05" w14:textId="2B22FF38" w:rsidR="0065480F" w:rsidRPr="000F6BA7" w:rsidRDefault="0065480F" w:rsidP="000F6BA7">
      <w:pPr>
        <w:pStyle w:val="NormalWeb"/>
        <w:jc w:val="both"/>
        <w:rPr>
          <w:b/>
          <w:bCs/>
        </w:rPr>
      </w:pPr>
      <w:r w:rsidRPr="000F6BA7">
        <w:rPr>
          <w:b/>
          <w:bCs/>
        </w:rPr>
        <w:t>Please not</w:t>
      </w:r>
      <w:r w:rsidR="00B7229B" w:rsidRPr="000F6BA7">
        <w:rPr>
          <w:b/>
          <w:bCs/>
        </w:rPr>
        <w:t>e</w:t>
      </w:r>
      <w:r w:rsidRPr="000F6BA7">
        <w:rPr>
          <w:b/>
          <w:bCs/>
        </w:rPr>
        <w:t>! Applications may be submitted individually or in consortia/partnerships/networks</w:t>
      </w:r>
    </w:p>
    <w:p w14:paraId="6C2DF642" w14:textId="404D8E68" w:rsidR="0065480F" w:rsidRPr="000F6BA7" w:rsidRDefault="0065480F" w:rsidP="000F6BA7">
      <w:pPr>
        <w:pStyle w:val="Heading3"/>
        <w:spacing w:line="240" w:lineRule="auto"/>
        <w:jc w:val="both"/>
        <w:rPr>
          <w:rStyle w:val="Strong"/>
          <w:rFonts w:ascii="Times New Roman" w:hAnsi="Times New Roman" w:cs="Times New Roman"/>
          <w:color w:val="auto"/>
        </w:rPr>
      </w:pPr>
      <w:r w:rsidRPr="000F6BA7">
        <w:rPr>
          <w:rStyle w:val="Strong"/>
          <w:rFonts w:ascii="Times New Roman" w:hAnsi="Times New Roman" w:cs="Times New Roman"/>
          <w:color w:val="auto"/>
        </w:rPr>
        <w:t>A positive financial assessment by the EUACI of the selected project will be a condition for receiving support.</w:t>
      </w:r>
    </w:p>
    <w:p w14:paraId="7A5CFF9F" w14:textId="77777777" w:rsidR="00660D6D" w:rsidRPr="000F6BA7" w:rsidRDefault="00660D6D" w:rsidP="000F6BA7">
      <w:pPr>
        <w:spacing w:line="240" w:lineRule="auto"/>
        <w:rPr>
          <w:rFonts w:ascii="Times New Roman" w:hAnsi="Times New Roman" w:cs="Times New Roman"/>
          <w:sz w:val="24"/>
          <w:szCs w:val="24"/>
        </w:rPr>
      </w:pPr>
    </w:p>
    <w:p w14:paraId="3A4D35E4" w14:textId="622F921A" w:rsidR="0065480F" w:rsidRPr="000F6BA7" w:rsidRDefault="00660D6D" w:rsidP="000F6BA7">
      <w:p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 xml:space="preserve">4. </w:t>
      </w:r>
      <w:r w:rsidR="0065480F" w:rsidRPr="000F6BA7">
        <w:rPr>
          <w:rFonts w:ascii="Times New Roman" w:hAnsi="Times New Roman" w:cs="Times New Roman"/>
          <w:b/>
          <w:bCs/>
          <w:sz w:val="24"/>
          <w:szCs w:val="24"/>
          <w:lang w:val="en-GB"/>
        </w:rPr>
        <w:t>Evaluation criteria</w:t>
      </w:r>
    </w:p>
    <w:p w14:paraId="3F1945AB" w14:textId="77777777" w:rsidR="0065480F" w:rsidRPr="000F6BA7" w:rsidRDefault="0065480F" w:rsidP="000F6BA7">
      <w:pPr>
        <w:pStyle w:val="NormalWeb"/>
        <w:jc w:val="both"/>
      </w:pPr>
      <w:r w:rsidRPr="000F6BA7">
        <w:t>Proposals will be evaluated based on:</w:t>
      </w:r>
    </w:p>
    <w:p w14:paraId="479282CB" w14:textId="1474715E" w:rsidR="0065480F" w:rsidRPr="000F6BA7" w:rsidRDefault="0065480F" w:rsidP="000F6BA7">
      <w:pPr>
        <w:pStyle w:val="NormalWeb"/>
        <w:numPr>
          <w:ilvl w:val="0"/>
          <w:numId w:val="34"/>
        </w:numPr>
        <w:jc w:val="both"/>
      </w:pPr>
      <w:r w:rsidRPr="000F6BA7">
        <w:t>Compliance with formal eligibility criteria</w:t>
      </w:r>
      <w:r w:rsidR="0065560B">
        <w:t>.</w:t>
      </w:r>
    </w:p>
    <w:p w14:paraId="5AB07F22" w14:textId="522DE589" w:rsidR="0065480F" w:rsidRPr="000F6BA7" w:rsidRDefault="0065480F" w:rsidP="000F6BA7">
      <w:pPr>
        <w:pStyle w:val="NormalWeb"/>
        <w:numPr>
          <w:ilvl w:val="0"/>
          <w:numId w:val="34"/>
        </w:numPr>
        <w:jc w:val="both"/>
      </w:pPr>
      <w:r w:rsidRPr="000F6BA7">
        <w:t>Relevance to the objectives of the call</w:t>
      </w:r>
      <w:r w:rsidR="0065560B">
        <w:t>.</w:t>
      </w:r>
    </w:p>
    <w:p w14:paraId="400A2FF1" w14:textId="45CB9010" w:rsidR="0065480F" w:rsidRPr="000F6BA7" w:rsidRDefault="0065480F" w:rsidP="000F6BA7">
      <w:pPr>
        <w:pStyle w:val="NormalWeb"/>
        <w:numPr>
          <w:ilvl w:val="0"/>
          <w:numId w:val="34"/>
        </w:numPr>
        <w:jc w:val="both"/>
      </w:pPr>
      <w:r w:rsidRPr="000F6BA7">
        <w:t>Experience and expertise of the organization</w:t>
      </w:r>
      <w:r w:rsidR="0065560B">
        <w:t>.</w:t>
      </w:r>
    </w:p>
    <w:p w14:paraId="61DDFC4D" w14:textId="2D6280BE" w:rsidR="0065480F" w:rsidRPr="000F6BA7" w:rsidRDefault="0065480F" w:rsidP="000F6BA7">
      <w:pPr>
        <w:pStyle w:val="NormalWeb"/>
        <w:numPr>
          <w:ilvl w:val="0"/>
          <w:numId w:val="34"/>
        </w:numPr>
        <w:jc w:val="both"/>
      </w:pPr>
      <w:r w:rsidRPr="000F6BA7">
        <w:t>Project feasibility, clarity, and potential for impact</w:t>
      </w:r>
      <w:r w:rsidR="0065560B">
        <w:t>.</w:t>
      </w:r>
    </w:p>
    <w:p w14:paraId="1C250851" w14:textId="36F1C514" w:rsidR="0065480F" w:rsidRPr="000F6BA7" w:rsidRDefault="0065480F" w:rsidP="000F6BA7">
      <w:pPr>
        <w:pStyle w:val="NormalWeb"/>
        <w:numPr>
          <w:ilvl w:val="0"/>
          <w:numId w:val="34"/>
        </w:numPr>
        <w:jc w:val="both"/>
      </w:pPr>
      <w:r w:rsidRPr="000F6BA7">
        <w:t>Budget clarity and cost-effectiveness</w:t>
      </w:r>
      <w:r w:rsidR="0065560B">
        <w:t>.</w:t>
      </w:r>
    </w:p>
    <w:p w14:paraId="53BCC5F2" w14:textId="742251C0" w:rsidR="0065480F" w:rsidRPr="000F6BA7" w:rsidRDefault="0065480F" w:rsidP="000F6BA7">
      <w:pPr>
        <w:pStyle w:val="NormalWeb"/>
        <w:numPr>
          <w:ilvl w:val="0"/>
          <w:numId w:val="34"/>
        </w:numPr>
        <w:jc w:val="both"/>
      </w:pPr>
      <w:r w:rsidRPr="000F6BA7">
        <w:t>Sustainability and scalability of proposed solutions</w:t>
      </w:r>
      <w:r w:rsidR="0065560B">
        <w:t>.</w:t>
      </w:r>
    </w:p>
    <w:p w14:paraId="0C02A970" w14:textId="1819C9BD" w:rsidR="0065480F" w:rsidRPr="000F6BA7" w:rsidRDefault="0065480F" w:rsidP="000F6BA7">
      <w:pPr>
        <w:numPr>
          <w:ilvl w:val="0"/>
          <w:numId w:val="34"/>
        </w:numPr>
        <w:spacing w:after="0" w:line="240" w:lineRule="auto"/>
        <w:jc w:val="both"/>
        <w:rPr>
          <w:rFonts w:ascii="Times New Roman" w:eastAsia="Times New Roman" w:hAnsi="Times New Roman" w:cs="Times New Roman"/>
          <w:color w:val="0E101A"/>
          <w:sz w:val="24"/>
          <w:szCs w:val="24"/>
          <w:lang w:val="en-US"/>
        </w:rPr>
      </w:pPr>
      <w:r w:rsidRPr="000F6BA7">
        <w:rPr>
          <w:rFonts w:ascii="Times New Roman" w:eastAsia="Times New Roman" w:hAnsi="Times New Roman" w:cs="Times New Roman"/>
          <w:color w:val="0E101A"/>
          <w:sz w:val="24"/>
          <w:szCs w:val="24"/>
          <w:lang w:val="en-US"/>
        </w:rPr>
        <w:t>The level of the thematic expertise of the organization and experience in the anti</w:t>
      </w:r>
      <w:r w:rsidR="00B7229B" w:rsidRPr="000F6BA7">
        <w:rPr>
          <w:rFonts w:ascii="Times New Roman" w:eastAsia="Times New Roman" w:hAnsi="Times New Roman" w:cs="Times New Roman"/>
          <w:color w:val="0E101A"/>
          <w:sz w:val="24"/>
          <w:szCs w:val="24"/>
          <w:lang w:val="en-US"/>
        </w:rPr>
        <w:t>-</w:t>
      </w:r>
      <w:r w:rsidRPr="000F6BA7">
        <w:rPr>
          <w:rFonts w:ascii="Times New Roman" w:eastAsia="Times New Roman" w:hAnsi="Times New Roman" w:cs="Times New Roman"/>
          <w:color w:val="0E101A"/>
          <w:sz w:val="24"/>
          <w:szCs w:val="24"/>
          <w:lang w:val="en-US"/>
        </w:rPr>
        <w:t>corruption sphere.</w:t>
      </w:r>
    </w:p>
    <w:p w14:paraId="5D2ADCF7" w14:textId="71FDC924" w:rsidR="0065480F" w:rsidRPr="000F6BA7" w:rsidRDefault="0065480F" w:rsidP="000F6BA7">
      <w:pPr>
        <w:pStyle w:val="NormalWeb"/>
        <w:jc w:val="both"/>
      </w:pPr>
      <w:r w:rsidRPr="000F6BA7">
        <w:lastRenderedPageBreak/>
        <w:t xml:space="preserve">Evaluation will be conducted by a Selection Committee composed of external </w:t>
      </w:r>
      <w:r w:rsidR="001243F1" w:rsidRPr="000F6BA7">
        <w:t>anti-corruption</w:t>
      </w:r>
      <w:r w:rsidRPr="000F6BA7">
        <w:t xml:space="preserve"> experts, along with EUACI team members.</w:t>
      </w:r>
    </w:p>
    <w:p w14:paraId="7E057D6D" w14:textId="77777777" w:rsidR="000719FA" w:rsidRPr="000F6BA7" w:rsidRDefault="000719FA" w:rsidP="000F6BA7">
      <w:pPr>
        <w:pStyle w:val="NormalWeb"/>
        <w:rPr>
          <w:b/>
          <w:bCs/>
        </w:rPr>
      </w:pPr>
      <w:r w:rsidRPr="000F6BA7">
        <w:rPr>
          <w:b/>
          <w:bCs/>
        </w:rPr>
        <w:t>Eligible applicants include:</w:t>
      </w:r>
    </w:p>
    <w:p w14:paraId="33A9C4CC" w14:textId="72D8854B" w:rsidR="000719FA" w:rsidRPr="000F6BA7" w:rsidRDefault="000719FA" w:rsidP="000F6BA7">
      <w:pPr>
        <w:pStyle w:val="NormalWeb"/>
        <w:numPr>
          <w:ilvl w:val="0"/>
          <w:numId w:val="19"/>
        </w:numPr>
      </w:pPr>
      <w:r w:rsidRPr="000F6BA7">
        <w:t>Think tanks with proven sectoral expertise in the competition focus areas</w:t>
      </w:r>
      <w:r w:rsidR="00E105BB" w:rsidRPr="000F6BA7">
        <w:t>.</w:t>
      </w:r>
    </w:p>
    <w:p w14:paraId="12EF85E0" w14:textId="777E745F" w:rsidR="000719FA" w:rsidRPr="000F6BA7" w:rsidRDefault="000719FA" w:rsidP="000F6BA7">
      <w:pPr>
        <w:pStyle w:val="NormalWeb"/>
        <w:numPr>
          <w:ilvl w:val="0"/>
          <w:numId w:val="19"/>
        </w:numPr>
      </w:pPr>
      <w:r w:rsidRPr="000F6BA7">
        <w:t xml:space="preserve">University-based expert </w:t>
      </w:r>
      <w:r w:rsidR="004C35BD" w:rsidRPr="000F6BA7">
        <w:t>CS</w:t>
      </w:r>
      <w:r w:rsidRPr="000F6BA7">
        <w:t>Os with demonstrated analytical capacity</w:t>
      </w:r>
      <w:r w:rsidR="00E105BB" w:rsidRPr="000F6BA7">
        <w:t>.</w:t>
      </w:r>
    </w:p>
    <w:p w14:paraId="09EFABF5" w14:textId="49435087" w:rsidR="000719FA" w:rsidRPr="000F6BA7" w:rsidRDefault="000719FA" w:rsidP="000F6BA7">
      <w:pPr>
        <w:pStyle w:val="NormalWeb"/>
        <w:numPr>
          <w:ilvl w:val="0"/>
          <w:numId w:val="19"/>
        </w:numPr>
      </w:pPr>
      <w:r w:rsidRPr="000F6BA7">
        <w:t>Anti-corruption civil society organizations</w:t>
      </w:r>
      <w:r w:rsidR="00E105BB" w:rsidRPr="000F6BA7">
        <w:t>.</w:t>
      </w:r>
    </w:p>
    <w:p w14:paraId="4AA497B7" w14:textId="36753A2A" w:rsidR="000719FA" w:rsidRPr="000F6BA7" w:rsidRDefault="000719FA" w:rsidP="000F6BA7">
      <w:pPr>
        <w:pStyle w:val="NormalWeb"/>
        <w:numPr>
          <w:ilvl w:val="0"/>
          <w:numId w:val="19"/>
        </w:numPr>
      </w:pPr>
      <w:r w:rsidRPr="000F6BA7">
        <w:t xml:space="preserve">Networks or consortia of </w:t>
      </w:r>
      <w:r w:rsidR="00112F98" w:rsidRPr="000F6BA7">
        <w:t>CS</w:t>
      </w:r>
      <w:r w:rsidRPr="000F6BA7">
        <w:t>Os (strongly encouraged)</w:t>
      </w:r>
      <w:r w:rsidR="00E105BB" w:rsidRPr="000F6BA7">
        <w:t>.</w:t>
      </w:r>
    </w:p>
    <w:p w14:paraId="275D2CC9" w14:textId="77777777" w:rsidR="000719FA" w:rsidRPr="000F6BA7" w:rsidRDefault="000719FA" w:rsidP="000F6BA7">
      <w:pPr>
        <w:pStyle w:val="NormalWeb"/>
      </w:pPr>
      <w:r w:rsidRPr="000F6BA7">
        <w:rPr>
          <w:rStyle w:val="Strong"/>
        </w:rPr>
        <w:t>Important:</w:t>
      </w:r>
      <w:r w:rsidRPr="000F6BA7">
        <w:br/>
        <w:t>All applicant organizations must either:</w:t>
      </w:r>
    </w:p>
    <w:p w14:paraId="3C8BE4AD" w14:textId="0FFC78FE" w:rsidR="000719FA" w:rsidRPr="000F6BA7" w:rsidRDefault="000719FA" w:rsidP="000F6BA7">
      <w:pPr>
        <w:pStyle w:val="NormalWeb"/>
        <w:numPr>
          <w:ilvl w:val="0"/>
          <w:numId w:val="20"/>
        </w:numPr>
      </w:pPr>
      <w:r w:rsidRPr="000F6BA7">
        <w:t>Have in-house anti-corruption expertise or</w:t>
      </w:r>
    </w:p>
    <w:p w14:paraId="5DD08987" w14:textId="1405B8B4" w:rsidR="000719FA" w:rsidRPr="000F6BA7" w:rsidRDefault="000719FA" w:rsidP="000F6BA7">
      <w:pPr>
        <w:pStyle w:val="NormalWeb"/>
        <w:numPr>
          <w:ilvl w:val="0"/>
          <w:numId w:val="20"/>
        </w:numPr>
      </w:pPr>
      <w:r w:rsidRPr="000F6BA7">
        <w:t>Formally engage external anti-corruption experts within the project team.</w:t>
      </w:r>
    </w:p>
    <w:p w14:paraId="184F2979" w14:textId="77777777" w:rsidR="00660D6D" w:rsidRPr="000F6BA7" w:rsidRDefault="00660D6D" w:rsidP="000F6BA7">
      <w:pPr>
        <w:spacing w:after="200" w:line="240" w:lineRule="auto"/>
        <w:jc w:val="both"/>
        <w:rPr>
          <w:rFonts w:ascii="Times New Roman" w:hAnsi="Times New Roman" w:cs="Times New Roman"/>
          <w:b/>
          <w:bCs/>
          <w:sz w:val="24"/>
          <w:szCs w:val="24"/>
        </w:rPr>
      </w:pPr>
      <w:r w:rsidRPr="000F6BA7">
        <w:rPr>
          <w:rFonts w:ascii="Times New Roman" w:hAnsi="Times New Roman" w:cs="Times New Roman"/>
          <w:b/>
          <w:bCs/>
          <w:sz w:val="24"/>
          <w:szCs w:val="24"/>
        </w:rPr>
        <w:t>All projects must:</w:t>
      </w:r>
    </w:p>
    <w:p w14:paraId="2FF6D569" w14:textId="77777777" w:rsidR="00660D6D" w:rsidRPr="000F6BA7" w:rsidRDefault="00660D6D" w:rsidP="000F6BA7">
      <w:pPr>
        <w:pStyle w:val="NormalWeb"/>
        <w:numPr>
          <w:ilvl w:val="0"/>
          <w:numId w:val="22"/>
        </w:numPr>
      </w:pPr>
      <w:r w:rsidRPr="000F6BA7">
        <w:t>Demonstrate relevant experience in policy research, anti-corruption, and sectoral analysis.</w:t>
      </w:r>
    </w:p>
    <w:p w14:paraId="2B65D771" w14:textId="4DE58F86" w:rsidR="00660D6D" w:rsidRPr="000F6BA7" w:rsidRDefault="00660D6D" w:rsidP="000F6BA7">
      <w:pPr>
        <w:pStyle w:val="NormalWeb"/>
        <w:numPr>
          <w:ilvl w:val="0"/>
          <w:numId w:val="22"/>
        </w:numPr>
      </w:pPr>
      <w:r w:rsidRPr="000F6BA7">
        <w:t xml:space="preserve">Submit a </w:t>
      </w:r>
      <w:r w:rsidRPr="000F6BA7">
        <w:rPr>
          <w:b/>
          <w:bCs/>
        </w:rPr>
        <w:t>preliminary draft of the research methodology</w:t>
      </w:r>
      <w:r w:rsidRPr="000F6BA7">
        <w:t xml:space="preserve"> as part of the application.</w:t>
      </w:r>
    </w:p>
    <w:p w14:paraId="7D06C9A9" w14:textId="77777777" w:rsidR="00660D6D" w:rsidRPr="000F6BA7" w:rsidRDefault="00660D6D" w:rsidP="000F6BA7">
      <w:pPr>
        <w:pStyle w:val="NormalWeb"/>
        <w:numPr>
          <w:ilvl w:val="0"/>
          <w:numId w:val="22"/>
        </w:numPr>
      </w:pPr>
      <w:r w:rsidRPr="000F6BA7">
        <w:t>Present a clear vision of the research project, including dissemination and advocacy activities.</w:t>
      </w:r>
    </w:p>
    <w:p w14:paraId="087360C5" w14:textId="77777777" w:rsidR="00660D6D" w:rsidRPr="000F6BA7" w:rsidRDefault="00660D6D" w:rsidP="000F6BA7">
      <w:pPr>
        <w:pStyle w:val="NormalWeb"/>
        <w:numPr>
          <w:ilvl w:val="0"/>
          <w:numId w:val="22"/>
        </w:numPr>
      </w:pPr>
      <w:r w:rsidRPr="000F6BA7">
        <w:t xml:space="preserve">Include </w:t>
      </w:r>
      <w:r w:rsidRPr="000F6BA7">
        <w:rPr>
          <w:b/>
          <w:bCs/>
        </w:rPr>
        <w:t>a peer review</w:t>
      </w:r>
      <w:r w:rsidRPr="000F6BA7">
        <w:t xml:space="preserve"> component for the research products.</w:t>
      </w:r>
    </w:p>
    <w:p w14:paraId="4D540928" w14:textId="77777777" w:rsidR="00660D6D" w:rsidRPr="000F6BA7" w:rsidRDefault="00660D6D" w:rsidP="000F6BA7">
      <w:pPr>
        <w:pStyle w:val="NormalWeb"/>
        <w:numPr>
          <w:ilvl w:val="0"/>
          <w:numId w:val="22"/>
        </w:numPr>
        <w:spacing w:after="200"/>
      </w:pPr>
      <w:r w:rsidRPr="000F6BA7">
        <w:t>Organize at least one public presentation and discussion of the research findings.</w:t>
      </w:r>
    </w:p>
    <w:p w14:paraId="7E4024D7" w14:textId="2D71D102" w:rsidR="00660D6D" w:rsidRPr="000F6BA7" w:rsidRDefault="00660D6D" w:rsidP="000F6BA7">
      <w:pPr>
        <w:pStyle w:val="ListParagraph"/>
        <w:keepNext/>
        <w:numPr>
          <w:ilvl w:val="0"/>
          <w:numId w:val="10"/>
        </w:num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Eligibility of costs</w:t>
      </w:r>
    </w:p>
    <w:p w14:paraId="7DD24C4E" w14:textId="77777777" w:rsidR="00660D6D" w:rsidRPr="000F6BA7" w:rsidRDefault="00660D6D" w:rsidP="000F6BA7">
      <w:pPr>
        <w:keepNext/>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Only eligible costs can be covered by a grant. See annex E. </w:t>
      </w:r>
      <w:r w:rsidRPr="000F6BA7">
        <w:rPr>
          <w:rFonts w:ascii="Times New Roman" w:hAnsi="Times New Roman" w:cs="Times New Roman"/>
          <w:sz w:val="24"/>
          <w:szCs w:val="24"/>
        </w:rPr>
        <w:t>Applicants may include costs for organizational development, strategic planning, fundraising events, and similar activities in the project budget.</w:t>
      </w:r>
    </w:p>
    <w:p w14:paraId="07C64473" w14:textId="77777777" w:rsidR="00660D6D" w:rsidRPr="000F6BA7" w:rsidRDefault="00660D6D" w:rsidP="000F6BA7">
      <w:pPr>
        <w:spacing w:after="0" w:line="240" w:lineRule="auto"/>
        <w:jc w:val="both"/>
        <w:rPr>
          <w:rFonts w:ascii="Times New Roman" w:hAnsi="Times New Roman" w:cs="Times New Roman"/>
          <w:sz w:val="24"/>
          <w:szCs w:val="24"/>
          <w:lang w:val="en-GB"/>
        </w:rPr>
      </w:pPr>
    </w:p>
    <w:p w14:paraId="5C3CA9D8" w14:textId="77777777" w:rsidR="00660D6D" w:rsidRPr="000F6BA7" w:rsidRDefault="00660D6D" w:rsidP="000F6BA7">
      <w:pPr>
        <w:pStyle w:val="ListParagraph"/>
        <w:numPr>
          <w:ilvl w:val="0"/>
          <w:numId w:val="10"/>
        </w:num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Ethics and code of conduct</w:t>
      </w:r>
    </w:p>
    <w:p w14:paraId="1E4CBAE8" w14:textId="77777777" w:rsidR="00660D6D" w:rsidRPr="000F6BA7" w:rsidRDefault="00660D6D" w:rsidP="000F6BA7">
      <w:p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Grant applicants are expected to live up to high ethical standards as well as organisational integrity, including respect for human rights as well as environmental legislation, compliance with core labour standards and zero-tolerance for sexual exploitation, abuse and harassment (SEAH), corruption, money-laundering and terrorism. Applicants may be excluded at any stage of the selection process if they do not live up to requirements in this area.</w:t>
      </w:r>
    </w:p>
    <w:p w14:paraId="68333079" w14:textId="50788C97" w:rsidR="00660D6D" w:rsidRPr="000F6BA7" w:rsidRDefault="00660D6D" w:rsidP="000F6BA7">
      <w:pPr>
        <w:spacing w:after="200" w:line="240" w:lineRule="auto"/>
        <w:jc w:val="both"/>
        <w:rPr>
          <w:rFonts w:ascii="Times New Roman" w:hAnsi="Times New Roman" w:cs="Times New Roman"/>
          <w:b/>
          <w:bCs/>
          <w:sz w:val="24"/>
          <w:szCs w:val="24"/>
          <w:lang w:val="en-GB"/>
        </w:rPr>
      </w:pPr>
    </w:p>
    <w:p w14:paraId="33EF25B8" w14:textId="77777777" w:rsidR="00660D6D" w:rsidRPr="000F6BA7" w:rsidRDefault="00660D6D" w:rsidP="000F6BA7">
      <w:pPr>
        <w:pStyle w:val="ListParagraph"/>
        <w:numPr>
          <w:ilvl w:val="0"/>
          <w:numId w:val="10"/>
        </w:num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Duration, grant size and number of proposals to be selected</w:t>
      </w:r>
    </w:p>
    <w:p w14:paraId="7886D523" w14:textId="26E742E1" w:rsidR="00660D6D" w:rsidRPr="000F6BA7" w:rsidRDefault="00660D6D" w:rsidP="000F6BA7">
      <w:pPr>
        <w:autoSpaceDE w:val="0"/>
        <w:autoSpaceDN w:val="0"/>
        <w:adjustRightInd w:val="0"/>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The planned duration of the proposal must not exceed </w:t>
      </w:r>
      <w:r w:rsidR="003E67E7" w:rsidRPr="000F6BA7">
        <w:rPr>
          <w:rFonts w:ascii="Times New Roman" w:hAnsi="Times New Roman" w:cs="Times New Roman"/>
          <w:sz w:val="24"/>
          <w:szCs w:val="24"/>
          <w:lang w:val="en-GB"/>
        </w:rPr>
        <w:t>8</w:t>
      </w:r>
      <w:r w:rsidRPr="000F6BA7">
        <w:rPr>
          <w:rFonts w:ascii="Times New Roman" w:hAnsi="Times New Roman" w:cs="Times New Roman"/>
          <w:sz w:val="24"/>
          <w:szCs w:val="24"/>
          <w:lang w:val="en-GB"/>
        </w:rPr>
        <w:t xml:space="preserve"> months and </w:t>
      </w:r>
      <w:r w:rsidRPr="000F6BA7">
        <w:rPr>
          <w:rFonts w:ascii="Times New Roman" w:hAnsi="Times New Roman" w:cs="Times New Roman"/>
          <w:sz w:val="24"/>
          <w:szCs w:val="24"/>
        </w:rPr>
        <w:t xml:space="preserve">all projects must be completed by </w:t>
      </w:r>
      <w:r w:rsidRPr="000F6BA7">
        <w:rPr>
          <w:rFonts w:ascii="Times New Roman" w:hAnsi="Times New Roman" w:cs="Times New Roman"/>
          <w:sz w:val="24"/>
          <w:szCs w:val="24"/>
          <w:lang w:val="en-GB"/>
        </w:rPr>
        <w:t>01</w:t>
      </w:r>
      <w:r w:rsidRPr="000F6BA7">
        <w:rPr>
          <w:rFonts w:ascii="Times New Roman" w:hAnsi="Times New Roman" w:cs="Times New Roman"/>
          <w:sz w:val="24"/>
          <w:szCs w:val="24"/>
        </w:rPr>
        <w:t xml:space="preserve"> </w:t>
      </w:r>
      <w:r w:rsidR="003E67E7" w:rsidRPr="000F6BA7">
        <w:rPr>
          <w:rFonts w:ascii="Times New Roman" w:hAnsi="Times New Roman" w:cs="Times New Roman"/>
          <w:sz w:val="24"/>
          <w:szCs w:val="24"/>
          <w:lang w:val="en-GB"/>
        </w:rPr>
        <w:t>M</w:t>
      </w:r>
      <w:r w:rsidRPr="000F6BA7">
        <w:rPr>
          <w:rFonts w:ascii="Times New Roman" w:hAnsi="Times New Roman" w:cs="Times New Roman"/>
          <w:sz w:val="24"/>
          <w:szCs w:val="24"/>
          <w:lang w:val="en-GB"/>
        </w:rPr>
        <w:t>arch</w:t>
      </w:r>
      <w:r w:rsidRPr="000F6BA7">
        <w:rPr>
          <w:rFonts w:ascii="Times New Roman" w:hAnsi="Times New Roman" w:cs="Times New Roman"/>
          <w:sz w:val="24"/>
          <w:szCs w:val="24"/>
        </w:rPr>
        <w:t xml:space="preserve"> 202</w:t>
      </w:r>
      <w:r w:rsidRPr="000F6BA7">
        <w:rPr>
          <w:rFonts w:ascii="Times New Roman" w:hAnsi="Times New Roman" w:cs="Times New Roman"/>
          <w:sz w:val="24"/>
          <w:szCs w:val="24"/>
          <w:lang w:val="en-GB"/>
        </w:rPr>
        <w:t>7</w:t>
      </w:r>
      <w:r w:rsidRPr="000F6BA7">
        <w:rPr>
          <w:rFonts w:ascii="Times New Roman" w:hAnsi="Times New Roman" w:cs="Times New Roman"/>
          <w:sz w:val="24"/>
          <w:szCs w:val="24"/>
        </w:rPr>
        <w:t>.</w:t>
      </w:r>
    </w:p>
    <w:p w14:paraId="67ABA2FD" w14:textId="77777777" w:rsidR="00660D6D" w:rsidRPr="000F6BA7" w:rsidRDefault="00660D6D" w:rsidP="000F6BA7">
      <w:pPr>
        <w:autoSpaceDE w:val="0"/>
        <w:autoSpaceDN w:val="0"/>
        <w:adjustRightInd w:val="0"/>
        <w:spacing w:after="0" w:line="240" w:lineRule="auto"/>
        <w:jc w:val="both"/>
        <w:rPr>
          <w:rFonts w:ascii="Times New Roman" w:hAnsi="Times New Roman" w:cs="Times New Roman"/>
          <w:sz w:val="24"/>
          <w:szCs w:val="24"/>
          <w:lang w:val="en-GB"/>
        </w:rPr>
      </w:pPr>
    </w:p>
    <w:p w14:paraId="3E98A6BE" w14:textId="44B3C848" w:rsidR="00660D6D" w:rsidRPr="000F6BA7" w:rsidRDefault="00660D6D" w:rsidP="000F6BA7">
      <w:pPr>
        <w:autoSpaceDE w:val="0"/>
        <w:autoSpaceDN w:val="0"/>
        <w:adjustRightInd w:val="0"/>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The overall indicative amount made available under this Call for proposals is 170 000 EUR. </w:t>
      </w:r>
    </w:p>
    <w:p w14:paraId="014190E8" w14:textId="77777777" w:rsidR="00660D6D" w:rsidRPr="000F6BA7" w:rsidRDefault="00660D6D" w:rsidP="000F6BA7">
      <w:pPr>
        <w:autoSpaceDE w:val="0"/>
        <w:autoSpaceDN w:val="0"/>
        <w:adjustRightInd w:val="0"/>
        <w:spacing w:after="0" w:line="240" w:lineRule="auto"/>
        <w:jc w:val="both"/>
        <w:rPr>
          <w:rFonts w:ascii="Times New Roman" w:hAnsi="Times New Roman" w:cs="Times New Roman"/>
          <w:sz w:val="24"/>
          <w:szCs w:val="24"/>
          <w:lang w:val="en-GB"/>
        </w:rPr>
      </w:pPr>
    </w:p>
    <w:p w14:paraId="4B60CB81" w14:textId="77777777" w:rsidR="00660D6D" w:rsidRPr="000F6BA7" w:rsidRDefault="00660D6D" w:rsidP="000F6BA7">
      <w:pPr>
        <w:pStyle w:val="ListParagraph"/>
        <w:numPr>
          <w:ilvl w:val="0"/>
          <w:numId w:val="10"/>
        </w:num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Application and selection process</w:t>
      </w:r>
    </w:p>
    <w:p w14:paraId="5B6BE8AF" w14:textId="77777777" w:rsidR="00660D6D" w:rsidRPr="000F6BA7" w:rsidRDefault="00660D6D" w:rsidP="000F6BA7">
      <w:p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To apply for this call for proposals applicants must provide information about the organisations/entities involved in the proposal by completing the Background information form (see template in Annex F).</w:t>
      </w:r>
    </w:p>
    <w:p w14:paraId="55CA5831" w14:textId="52F1C410" w:rsidR="00660D6D" w:rsidRPr="000F6BA7" w:rsidRDefault="00660D6D" w:rsidP="000F6BA7">
      <w:pPr>
        <w:spacing w:after="0" w:line="240" w:lineRule="auto"/>
        <w:jc w:val="both"/>
        <w:rPr>
          <w:rFonts w:ascii="Times New Roman" w:hAnsi="Times New Roman" w:cs="Times New Roman"/>
          <w:color w:val="000000"/>
          <w:sz w:val="24"/>
          <w:szCs w:val="24"/>
          <w:lang w:val="en-GB"/>
        </w:rPr>
      </w:pPr>
      <w:r w:rsidRPr="000F6BA7">
        <w:rPr>
          <w:rFonts w:ascii="Times New Roman" w:hAnsi="Times New Roman" w:cs="Times New Roman"/>
          <w:color w:val="000000"/>
          <w:sz w:val="24"/>
          <w:szCs w:val="24"/>
          <w:lang w:val="en-GB"/>
        </w:rPr>
        <w:lastRenderedPageBreak/>
        <w:t>The MFA is not obliged to fully support the proposals submitted. Hence, the MFA will inform the lead applicants that have been preselected, about their tentative level of funding and give feedback to the concept note. However, the MFA shall not define any activity and/or output, as this would constitute grounds for a procurement process instead of a grant award.</w:t>
      </w:r>
    </w:p>
    <w:p w14:paraId="1FFB7BE5" w14:textId="77777777" w:rsidR="001243F1" w:rsidRPr="000F6BA7" w:rsidRDefault="001243F1" w:rsidP="000F6BA7">
      <w:pPr>
        <w:spacing w:after="0" w:line="240" w:lineRule="auto"/>
        <w:jc w:val="both"/>
        <w:rPr>
          <w:rFonts w:ascii="Times New Roman" w:hAnsi="Times New Roman" w:cs="Times New Roman"/>
          <w:color w:val="000000"/>
          <w:sz w:val="24"/>
          <w:szCs w:val="24"/>
          <w:lang w:val="en-GB"/>
        </w:rPr>
      </w:pPr>
    </w:p>
    <w:p w14:paraId="5CE051D0" w14:textId="77777777" w:rsidR="001243F1" w:rsidRPr="001243F1" w:rsidRDefault="001243F1" w:rsidP="0065560B">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1243F1">
        <w:rPr>
          <w:rFonts w:ascii="Times New Roman" w:eastAsia="Times New Roman" w:hAnsi="Times New Roman" w:cs="Times New Roman"/>
          <w:sz w:val="24"/>
          <w:szCs w:val="24"/>
          <w:lang w:val="en-GB" w:eastAsia="en-GB"/>
        </w:rPr>
        <w:t xml:space="preserve">Applicants must submit the following documents by email to </w:t>
      </w:r>
      <w:r w:rsidRPr="001243F1">
        <w:rPr>
          <w:rFonts w:ascii="Times New Roman" w:eastAsia="Times New Roman" w:hAnsi="Times New Roman" w:cs="Times New Roman"/>
          <w:b/>
          <w:bCs/>
          <w:sz w:val="24"/>
          <w:szCs w:val="24"/>
          <w:lang w:val="en-GB" w:eastAsia="en-GB"/>
        </w:rPr>
        <w:t>euaci@um.dk</w:t>
      </w:r>
      <w:r w:rsidRPr="001243F1">
        <w:rPr>
          <w:rFonts w:ascii="Times New Roman" w:eastAsia="Times New Roman" w:hAnsi="Times New Roman" w:cs="Times New Roman"/>
          <w:sz w:val="24"/>
          <w:szCs w:val="24"/>
          <w:lang w:val="en-GB" w:eastAsia="en-GB"/>
        </w:rPr>
        <w:t xml:space="preserve">, with a copy to </w:t>
      </w:r>
      <w:r w:rsidRPr="001243F1">
        <w:rPr>
          <w:rFonts w:ascii="Times New Roman" w:eastAsia="Times New Roman" w:hAnsi="Times New Roman" w:cs="Times New Roman"/>
          <w:b/>
          <w:bCs/>
          <w:sz w:val="24"/>
          <w:szCs w:val="24"/>
          <w:lang w:val="en-GB" w:eastAsia="en-GB"/>
        </w:rPr>
        <w:t>sofgol@um.dk</w:t>
      </w:r>
      <w:r w:rsidRPr="001243F1">
        <w:rPr>
          <w:rFonts w:ascii="Times New Roman" w:eastAsia="Times New Roman" w:hAnsi="Times New Roman" w:cs="Times New Roman"/>
          <w:sz w:val="24"/>
          <w:szCs w:val="24"/>
          <w:lang w:val="en-GB" w:eastAsia="en-GB"/>
        </w:rPr>
        <w:t xml:space="preserve">, indicating in the subject line: </w:t>
      </w:r>
      <w:r w:rsidRPr="001243F1">
        <w:rPr>
          <w:rFonts w:ascii="Times New Roman" w:eastAsia="Times New Roman" w:hAnsi="Times New Roman" w:cs="Times New Roman"/>
          <w:i/>
          <w:iCs/>
          <w:sz w:val="24"/>
          <w:szCs w:val="24"/>
          <w:lang w:val="en-GB" w:eastAsia="en-GB"/>
        </w:rPr>
        <w:t>National Call for Supporting Research on EU Accession in the Area of Anti-Corruption</w:t>
      </w:r>
      <w:r w:rsidRPr="001243F1">
        <w:rPr>
          <w:rFonts w:ascii="Times New Roman" w:eastAsia="Times New Roman" w:hAnsi="Times New Roman" w:cs="Times New Roman"/>
          <w:sz w:val="24"/>
          <w:szCs w:val="24"/>
          <w:lang w:val="en-GB" w:eastAsia="en-GB"/>
        </w:rPr>
        <w:t>:</w:t>
      </w:r>
    </w:p>
    <w:p w14:paraId="24AF7600" w14:textId="77777777" w:rsidR="001243F1" w:rsidRPr="001243F1" w:rsidRDefault="001243F1" w:rsidP="000F6BA7">
      <w:pPr>
        <w:numPr>
          <w:ilvl w:val="0"/>
          <w:numId w:val="37"/>
        </w:numPr>
        <w:spacing w:before="100" w:beforeAutospacing="1" w:after="100" w:afterAutospacing="1" w:line="240" w:lineRule="auto"/>
        <w:rPr>
          <w:rFonts w:ascii="Times New Roman" w:eastAsia="Times New Roman" w:hAnsi="Times New Roman" w:cs="Times New Roman"/>
          <w:sz w:val="24"/>
          <w:szCs w:val="24"/>
          <w:lang w:val="en-GB" w:eastAsia="en-GB"/>
        </w:rPr>
      </w:pPr>
      <w:r w:rsidRPr="001243F1">
        <w:rPr>
          <w:rFonts w:ascii="Times New Roman" w:eastAsia="Times New Roman" w:hAnsi="Times New Roman" w:cs="Times New Roman"/>
          <w:sz w:val="24"/>
          <w:szCs w:val="24"/>
          <w:lang w:val="en-GB" w:eastAsia="en-GB"/>
        </w:rPr>
        <w:t xml:space="preserve">Project Proposal (Annex 1) </w:t>
      </w:r>
    </w:p>
    <w:p w14:paraId="7A4EA4E1" w14:textId="77777777" w:rsidR="001243F1" w:rsidRPr="001243F1" w:rsidRDefault="001243F1" w:rsidP="000F6BA7">
      <w:pPr>
        <w:numPr>
          <w:ilvl w:val="0"/>
          <w:numId w:val="37"/>
        </w:numPr>
        <w:spacing w:before="100" w:beforeAutospacing="1" w:after="100" w:afterAutospacing="1" w:line="240" w:lineRule="auto"/>
        <w:rPr>
          <w:rFonts w:ascii="Times New Roman" w:eastAsia="Times New Roman" w:hAnsi="Times New Roman" w:cs="Times New Roman"/>
          <w:sz w:val="24"/>
          <w:szCs w:val="24"/>
          <w:lang w:val="en-GB" w:eastAsia="en-GB"/>
        </w:rPr>
      </w:pPr>
      <w:r w:rsidRPr="001243F1">
        <w:rPr>
          <w:rFonts w:ascii="Times New Roman" w:eastAsia="Times New Roman" w:hAnsi="Times New Roman" w:cs="Times New Roman"/>
          <w:sz w:val="24"/>
          <w:szCs w:val="24"/>
          <w:lang w:val="en-GB" w:eastAsia="en-GB"/>
        </w:rPr>
        <w:t xml:space="preserve">Budget (Annex 2) </w:t>
      </w:r>
    </w:p>
    <w:p w14:paraId="3618457F" w14:textId="77777777" w:rsidR="001243F1" w:rsidRPr="001243F1" w:rsidRDefault="001243F1" w:rsidP="000F6BA7">
      <w:pPr>
        <w:numPr>
          <w:ilvl w:val="0"/>
          <w:numId w:val="37"/>
        </w:numPr>
        <w:spacing w:before="100" w:beforeAutospacing="1" w:after="100" w:afterAutospacing="1" w:line="240" w:lineRule="auto"/>
        <w:rPr>
          <w:rFonts w:ascii="Times New Roman" w:eastAsia="Times New Roman" w:hAnsi="Times New Roman" w:cs="Times New Roman"/>
          <w:sz w:val="24"/>
          <w:szCs w:val="24"/>
          <w:lang w:val="en-GB" w:eastAsia="en-GB"/>
        </w:rPr>
      </w:pPr>
      <w:r w:rsidRPr="001243F1">
        <w:rPr>
          <w:rFonts w:ascii="Times New Roman" w:eastAsia="Times New Roman" w:hAnsi="Times New Roman" w:cs="Times New Roman"/>
          <w:sz w:val="24"/>
          <w:szCs w:val="24"/>
          <w:lang w:val="en-GB" w:eastAsia="en-GB"/>
        </w:rPr>
        <w:t xml:space="preserve">Background Information Form (Annex F) </w:t>
      </w:r>
    </w:p>
    <w:p w14:paraId="5C2EF96B" w14:textId="77777777" w:rsidR="001243F1" w:rsidRPr="001243F1" w:rsidRDefault="001243F1" w:rsidP="000F6BA7">
      <w:pPr>
        <w:numPr>
          <w:ilvl w:val="0"/>
          <w:numId w:val="37"/>
        </w:numPr>
        <w:spacing w:before="100" w:beforeAutospacing="1" w:after="100" w:afterAutospacing="1" w:line="240" w:lineRule="auto"/>
        <w:rPr>
          <w:rFonts w:ascii="Times New Roman" w:eastAsia="Times New Roman" w:hAnsi="Times New Roman" w:cs="Times New Roman"/>
          <w:sz w:val="24"/>
          <w:szCs w:val="24"/>
          <w:lang w:val="en-GB" w:eastAsia="en-GB"/>
        </w:rPr>
      </w:pPr>
      <w:r w:rsidRPr="001243F1">
        <w:rPr>
          <w:rFonts w:ascii="Times New Roman" w:eastAsia="Times New Roman" w:hAnsi="Times New Roman" w:cs="Times New Roman"/>
          <w:sz w:val="24"/>
          <w:szCs w:val="24"/>
          <w:lang w:val="en-GB" w:eastAsia="en-GB"/>
        </w:rPr>
        <w:t xml:space="preserve">Preliminary draft of the research methodology </w:t>
      </w:r>
    </w:p>
    <w:p w14:paraId="11236760" w14:textId="77777777" w:rsidR="001243F1" w:rsidRPr="001243F1" w:rsidRDefault="001243F1" w:rsidP="000F6BA7">
      <w:pPr>
        <w:numPr>
          <w:ilvl w:val="0"/>
          <w:numId w:val="37"/>
        </w:numPr>
        <w:spacing w:before="100" w:beforeAutospacing="1" w:after="100" w:afterAutospacing="1" w:line="240" w:lineRule="auto"/>
        <w:rPr>
          <w:rFonts w:ascii="Times New Roman" w:eastAsia="Times New Roman" w:hAnsi="Times New Roman" w:cs="Times New Roman"/>
          <w:sz w:val="24"/>
          <w:szCs w:val="24"/>
          <w:lang w:val="en-GB" w:eastAsia="en-GB"/>
        </w:rPr>
      </w:pPr>
      <w:r w:rsidRPr="001243F1">
        <w:rPr>
          <w:rFonts w:ascii="Times New Roman" w:eastAsia="Times New Roman" w:hAnsi="Times New Roman" w:cs="Times New Roman"/>
          <w:sz w:val="24"/>
          <w:szCs w:val="24"/>
          <w:lang w:val="en-GB" w:eastAsia="en-GB"/>
        </w:rPr>
        <w:t xml:space="preserve">CVs of key team members </w:t>
      </w:r>
    </w:p>
    <w:p w14:paraId="164177C3" w14:textId="77777777" w:rsidR="001243F1" w:rsidRPr="001243F1" w:rsidRDefault="001243F1" w:rsidP="000F6BA7">
      <w:pPr>
        <w:spacing w:before="100" w:beforeAutospacing="1" w:after="100" w:afterAutospacing="1" w:line="240" w:lineRule="auto"/>
        <w:rPr>
          <w:rFonts w:ascii="Times New Roman" w:eastAsia="Times New Roman" w:hAnsi="Times New Roman" w:cs="Times New Roman"/>
          <w:sz w:val="24"/>
          <w:szCs w:val="24"/>
          <w:lang w:val="en-GB" w:eastAsia="en-GB"/>
        </w:rPr>
      </w:pPr>
      <w:r w:rsidRPr="001243F1">
        <w:rPr>
          <w:rFonts w:ascii="Times New Roman" w:eastAsia="Times New Roman" w:hAnsi="Times New Roman" w:cs="Times New Roman"/>
          <w:sz w:val="24"/>
          <w:szCs w:val="24"/>
          <w:lang w:val="en-GB" w:eastAsia="en-GB"/>
        </w:rPr>
        <w:t>All documents must be submitted in English.</w:t>
      </w:r>
    </w:p>
    <w:p w14:paraId="5775CBCD" w14:textId="77777777" w:rsidR="00660D6D" w:rsidRPr="000F6BA7" w:rsidRDefault="00660D6D" w:rsidP="000F6BA7">
      <w:pPr>
        <w:pStyle w:val="NormalWeb"/>
        <w:jc w:val="both"/>
      </w:pPr>
      <w:r w:rsidRPr="000F6BA7">
        <w:t>Applications received after the deadline or without a detailed budget will not be considered.</w:t>
      </w:r>
    </w:p>
    <w:p w14:paraId="5D185BF3" w14:textId="77777777" w:rsidR="00660D6D" w:rsidRPr="000F6BA7" w:rsidRDefault="00660D6D" w:rsidP="000F6BA7">
      <w:pPr>
        <w:pStyle w:val="NormalWeb"/>
        <w:jc w:val="both"/>
      </w:pPr>
      <w:r w:rsidRPr="000F6BA7">
        <w:t xml:space="preserve">If you do not receive a confirmation of receipt within 3 working days, please contact: </w:t>
      </w:r>
      <w:hyperlink r:id="rId10" w:history="1">
        <w:r w:rsidRPr="000F6BA7">
          <w:rPr>
            <w:rStyle w:val="Hyperlink"/>
          </w:rPr>
          <w:t>euaci@um.dk</w:t>
        </w:r>
      </w:hyperlink>
      <w:r w:rsidRPr="000F6BA7">
        <w:rPr>
          <w:rStyle w:val="Hyperlink"/>
          <w:color w:val="auto"/>
          <w:u w:val="none"/>
        </w:rPr>
        <w:t xml:space="preserve"> and </w:t>
      </w:r>
      <w:r w:rsidRPr="000F6BA7">
        <w:rPr>
          <w:rStyle w:val="Hyperlink"/>
        </w:rPr>
        <w:t>sofgol@um.dk</w:t>
      </w:r>
    </w:p>
    <w:p w14:paraId="0A8C6960" w14:textId="77777777" w:rsidR="00660D6D" w:rsidRPr="000F6BA7" w:rsidRDefault="00660D6D" w:rsidP="000F6BA7">
      <w:pPr>
        <w:pStyle w:val="Heading3"/>
        <w:spacing w:line="240" w:lineRule="auto"/>
        <w:jc w:val="both"/>
        <w:rPr>
          <w:rFonts w:ascii="Times New Roman" w:hAnsi="Times New Roman" w:cs="Times New Roman"/>
        </w:rPr>
      </w:pPr>
      <w:r w:rsidRPr="000F6BA7">
        <w:rPr>
          <w:rStyle w:val="Strong"/>
          <w:rFonts w:ascii="Times New Roman" w:hAnsi="Times New Roman" w:cs="Times New Roman"/>
        </w:rPr>
        <w:t>Information Session</w:t>
      </w:r>
    </w:p>
    <w:p w14:paraId="47B33129" w14:textId="7CEB4F0E" w:rsidR="00660D6D" w:rsidRPr="0065560B" w:rsidRDefault="00660D6D" w:rsidP="000F6BA7">
      <w:pPr>
        <w:pStyle w:val="NormalWeb"/>
        <w:jc w:val="both"/>
      </w:pPr>
      <w:r w:rsidRPr="000F6BA7">
        <w:t xml:space="preserve">A </w:t>
      </w:r>
      <w:r w:rsidRPr="0065560B">
        <w:t xml:space="preserve">presentation of the grant call will be held </w:t>
      </w:r>
      <w:r w:rsidRPr="0065560B">
        <w:rPr>
          <w:rStyle w:val="Strong"/>
        </w:rPr>
        <w:t xml:space="preserve">on </w:t>
      </w:r>
      <w:r w:rsidR="007E0C1C" w:rsidRPr="0065560B">
        <w:rPr>
          <w:rStyle w:val="Strong"/>
        </w:rPr>
        <w:t>May</w:t>
      </w:r>
      <w:r w:rsidR="00BF5373" w:rsidRPr="0065560B">
        <w:t xml:space="preserve"> 8</w:t>
      </w:r>
      <w:r w:rsidRPr="0065560B">
        <w:rPr>
          <w:rStyle w:val="Strong"/>
        </w:rPr>
        <w:t>, 2026, at 11:00 Kyiv time</w:t>
      </w:r>
      <w:r w:rsidRPr="0065560B">
        <w:t xml:space="preserve"> in both online </w:t>
      </w:r>
      <w:r w:rsidRPr="0065560B">
        <w:rPr>
          <w:lang w:val="en-US"/>
        </w:rPr>
        <w:t xml:space="preserve">and offline </w:t>
      </w:r>
      <w:r w:rsidRPr="0065560B">
        <w:t>formats.</w:t>
      </w:r>
    </w:p>
    <w:p w14:paraId="4071CEF5" w14:textId="77777777" w:rsidR="00660D6D" w:rsidRPr="0065560B" w:rsidRDefault="00660D6D" w:rsidP="000F6BA7">
      <w:pPr>
        <w:pStyle w:val="NormalWeb"/>
        <w:numPr>
          <w:ilvl w:val="0"/>
          <w:numId w:val="35"/>
        </w:numPr>
        <w:jc w:val="both"/>
      </w:pPr>
      <w:r w:rsidRPr="0065560B">
        <w:rPr>
          <w:rStyle w:val="Strong"/>
        </w:rPr>
        <w:t>Online broadcast:</w:t>
      </w:r>
      <w:r w:rsidRPr="0065560B">
        <w:t xml:space="preserve"> EUACI YouTube channel and Facebook page</w:t>
      </w:r>
    </w:p>
    <w:p w14:paraId="691D5768" w14:textId="7974F1E2" w:rsidR="00660D6D" w:rsidRPr="0065560B" w:rsidRDefault="00660D6D" w:rsidP="000F6BA7">
      <w:pPr>
        <w:pStyle w:val="NormalWeb"/>
        <w:numPr>
          <w:ilvl w:val="0"/>
          <w:numId w:val="35"/>
        </w:numPr>
        <w:jc w:val="both"/>
      </w:pPr>
      <w:r w:rsidRPr="0065560B">
        <w:rPr>
          <w:rStyle w:val="Strong"/>
        </w:rPr>
        <w:t>Registration link:</w:t>
      </w:r>
      <w:r w:rsidRPr="0065560B">
        <w:rPr>
          <w:lang w:val="uk-UA"/>
        </w:rPr>
        <w:t xml:space="preserve"> </w:t>
      </w:r>
      <w:r w:rsidR="00BF5373" w:rsidRPr="0065560B">
        <w:rPr>
          <w:lang w:val="uk-UA"/>
        </w:rPr>
        <w:t>https://forms.gle/7vZjBcwz3YCFd1rv7</w:t>
      </w:r>
    </w:p>
    <w:p w14:paraId="25AF18C9" w14:textId="77777777" w:rsidR="00660D6D" w:rsidRPr="000F6BA7" w:rsidRDefault="00660D6D" w:rsidP="000F6BA7">
      <w:pPr>
        <w:pStyle w:val="Heading3"/>
        <w:spacing w:line="240" w:lineRule="auto"/>
        <w:jc w:val="both"/>
        <w:rPr>
          <w:rFonts w:ascii="Times New Roman" w:hAnsi="Times New Roman" w:cs="Times New Roman"/>
          <w:b/>
          <w:bCs/>
        </w:rPr>
      </w:pPr>
      <w:r w:rsidRPr="000F6BA7">
        <w:rPr>
          <w:rStyle w:val="Strong"/>
          <w:rFonts w:ascii="Times New Roman" w:hAnsi="Times New Roman" w:cs="Times New Roman"/>
        </w:rPr>
        <w:t>Questions and Clarifications</w:t>
      </w:r>
    </w:p>
    <w:p w14:paraId="10611EF0" w14:textId="737121E4" w:rsidR="00660D6D" w:rsidRPr="000F6BA7" w:rsidRDefault="00660D6D" w:rsidP="000F6BA7">
      <w:pPr>
        <w:spacing w:after="240" w:line="240" w:lineRule="auto"/>
        <w:rPr>
          <w:rFonts w:ascii="Times New Roman" w:eastAsia="Times New Roman" w:hAnsi="Times New Roman" w:cs="Times New Roman"/>
          <w:b/>
          <w:sz w:val="24"/>
          <w:szCs w:val="24"/>
        </w:rPr>
      </w:pPr>
      <w:r w:rsidRPr="000F6BA7">
        <w:rPr>
          <w:rFonts w:ascii="Times New Roman" w:hAnsi="Times New Roman" w:cs="Times New Roman"/>
          <w:sz w:val="24"/>
          <w:szCs w:val="24"/>
        </w:rPr>
        <w:t xml:space="preserve">Questions in English or Ukrainian should be sent to </w:t>
      </w:r>
      <w:hyperlink r:id="rId11" w:history="1">
        <w:r w:rsidRPr="000F6BA7">
          <w:rPr>
            <w:rStyle w:val="Hyperlink"/>
            <w:rFonts w:ascii="Times New Roman" w:hAnsi="Times New Roman" w:cs="Times New Roman"/>
            <w:sz w:val="24"/>
            <w:szCs w:val="24"/>
          </w:rPr>
          <w:t>euaci@um.dk</w:t>
        </w:r>
      </w:hyperlink>
      <w:r w:rsidRPr="000F6BA7">
        <w:rPr>
          <w:rFonts w:ascii="Times New Roman" w:hAnsi="Times New Roman" w:cs="Times New Roman"/>
          <w:sz w:val="24"/>
          <w:szCs w:val="24"/>
        </w:rPr>
        <w:t xml:space="preserve">  and </w:t>
      </w:r>
      <w:r w:rsidRPr="000F6BA7">
        <w:rPr>
          <w:rFonts w:ascii="Times New Roman" w:hAnsi="Times New Roman" w:cs="Times New Roman"/>
          <w:b/>
          <w:bCs/>
          <w:sz w:val="24"/>
          <w:szCs w:val="24"/>
        </w:rPr>
        <w:t>sofgol@um.dk</w:t>
      </w:r>
      <w:r w:rsidRPr="000F6BA7">
        <w:rPr>
          <w:rFonts w:ascii="Times New Roman" w:hAnsi="Times New Roman" w:cs="Times New Roman"/>
          <w:sz w:val="24"/>
          <w:szCs w:val="24"/>
        </w:rPr>
        <w:t xml:space="preserve"> no later than </w:t>
      </w:r>
      <w:r w:rsidR="007E0C1C" w:rsidRPr="000F6BA7">
        <w:rPr>
          <w:rFonts w:ascii="Times New Roman" w:hAnsi="Times New Roman" w:cs="Times New Roman"/>
          <w:b/>
          <w:bCs/>
          <w:sz w:val="24"/>
          <w:szCs w:val="24"/>
          <w:lang w:val="en-GB"/>
        </w:rPr>
        <w:t>May,22</w:t>
      </w:r>
      <w:r w:rsidRPr="000F6BA7">
        <w:rPr>
          <w:rFonts w:ascii="Times New Roman" w:hAnsi="Times New Roman" w:cs="Times New Roman"/>
          <w:b/>
          <w:bCs/>
          <w:sz w:val="24"/>
          <w:szCs w:val="24"/>
        </w:rPr>
        <w:t>, 2026, at 17:00 Kyiv time</w:t>
      </w:r>
      <w:r w:rsidRPr="000F6BA7">
        <w:rPr>
          <w:rFonts w:ascii="Times New Roman" w:hAnsi="Times New Roman" w:cs="Times New Roman"/>
          <w:sz w:val="24"/>
          <w:szCs w:val="24"/>
        </w:rPr>
        <w:t xml:space="preserve"> with a clear reference to the title of the call </w:t>
      </w:r>
      <w:r w:rsidRPr="000F6BA7">
        <w:rPr>
          <w:rFonts w:ascii="Times New Roman" w:eastAsia="Times New Roman" w:hAnsi="Times New Roman" w:cs="Times New Roman"/>
          <w:b/>
          <w:sz w:val="24"/>
          <w:szCs w:val="24"/>
          <w:lang w:val="en-US" w:eastAsia="uk-UA"/>
        </w:rPr>
        <w:t>National Call</w:t>
      </w:r>
      <w:r w:rsidRPr="000F6BA7">
        <w:rPr>
          <w:rFonts w:ascii="Times New Roman" w:eastAsia="Times New Roman" w:hAnsi="Times New Roman" w:cs="Times New Roman"/>
          <w:b/>
          <w:sz w:val="24"/>
          <w:szCs w:val="24"/>
          <w:lang w:val="en-GB"/>
        </w:rPr>
        <w:t xml:space="preserve"> </w:t>
      </w:r>
      <w:r w:rsidRPr="000F6BA7">
        <w:rPr>
          <w:rFonts w:ascii="Times New Roman" w:eastAsia="Times New Roman" w:hAnsi="Times New Roman" w:cs="Times New Roman"/>
          <w:b/>
          <w:sz w:val="24"/>
          <w:szCs w:val="24"/>
        </w:rPr>
        <w:t xml:space="preserve">for Supporting </w:t>
      </w:r>
      <w:r w:rsidRPr="000F6BA7">
        <w:rPr>
          <w:rFonts w:ascii="Times New Roman" w:eastAsia="Times New Roman" w:hAnsi="Times New Roman" w:cs="Times New Roman"/>
          <w:b/>
          <w:sz w:val="24"/>
          <w:szCs w:val="24"/>
          <w:lang w:val="en-GB"/>
        </w:rPr>
        <w:t xml:space="preserve">Research regarding EU accession in the area of anti-corruption </w:t>
      </w:r>
    </w:p>
    <w:p w14:paraId="49568EFE" w14:textId="78EC899E" w:rsidR="00660D6D" w:rsidRPr="000F6BA7" w:rsidRDefault="00660D6D" w:rsidP="000F6BA7">
      <w:pPr>
        <w:pStyle w:val="NormalWeb"/>
        <w:jc w:val="both"/>
      </w:pPr>
      <w:r w:rsidRPr="000F6BA7">
        <w:t>EUACI may decline to respond to questions submitted after this deadline.</w:t>
      </w:r>
    </w:p>
    <w:p w14:paraId="18B8740D" w14:textId="77777777" w:rsidR="00660D6D" w:rsidRPr="000F6BA7" w:rsidRDefault="00660D6D" w:rsidP="000F6BA7">
      <w:pPr>
        <w:pStyle w:val="NormalWeb"/>
        <w:jc w:val="both"/>
      </w:pPr>
      <w:r w:rsidRPr="000F6BA7">
        <w:t>Please note that EUACI will not provide prior assessments of applicant eligibility or proposal content.</w:t>
      </w:r>
    </w:p>
    <w:p w14:paraId="7748DF07" w14:textId="77777777" w:rsidR="00660D6D" w:rsidRPr="000F6BA7" w:rsidRDefault="00660D6D" w:rsidP="000F6BA7">
      <w:pPr>
        <w:autoSpaceDE w:val="0"/>
        <w:autoSpaceDN w:val="0"/>
        <w:adjustRightInd w:val="0"/>
        <w:spacing w:after="0" w:line="240" w:lineRule="auto"/>
        <w:jc w:val="both"/>
        <w:rPr>
          <w:rFonts w:ascii="Times New Roman" w:hAnsi="Times New Roman" w:cs="Times New Roman"/>
          <w:sz w:val="24"/>
          <w:szCs w:val="24"/>
          <w:lang w:val="en-GB"/>
        </w:rPr>
      </w:pPr>
      <w:r w:rsidRPr="000F6BA7">
        <w:rPr>
          <w:rFonts w:ascii="Times New Roman" w:hAnsi="Times New Roman" w:cs="Times New Roman"/>
          <w:color w:val="222222"/>
          <w:sz w:val="24"/>
          <w:szCs w:val="24"/>
          <w:lang w:val="en-GB"/>
        </w:rPr>
        <w:t xml:space="preserve">The project proposal </w:t>
      </w:r>
      <w:r w:rsidRPr="000F6BA7">
        <w:rPr>
          <w:rFonts w:ascii="Times New Roman" w:hAnsi="Times New Roman" w:cs="Times New Roman"/>
          <w:sz w:val="24"/>
          <w:szCs w:val="24"/>
          <w:lang w:val="en-GB"/>
        </w:rPr>
        <w:t xml:space="preserve">will be evaluated and scored by the MFA Evaluation Committee. </w:t>
      </w:r>
    </w:p>
    <w:p w14:paraId="41A0F43F" w14:textId="7DB6B95B" w:rsidR="00660D6D" w:rsidRPr="000F6BA7" w:rsidRDefault="00660D6D" w:rsidP="000F6BA7">
      <w:pPr>
        <w:spacing w:after="0" w:line="240" w:lineRule="auto"/>
        <w:jc w:val="both"/>
        <w:rPr>
          <w:rFonts w:ascii="Times New Roman" w:eastAsia="Times New Roman" w:hAnsi="Times New Roman" w:cs="Times New Roman"/>
          <w:color w:val="0E101A"/>
          <w:sz w:val="24"/>
          <w:szCs w:val="24"/>
          <w:lang w:val="en-US"/>
        </w:rPr>
      </w:pPr>
      <w:r w:rsidRPr="000F6BA7">
        <w:rPr>
          <w:rFonts w:ascii="Times New Roman" w:hAnsi="Times New Roman" w:cs="Times New Roman"/>
          <w:sz w:val="24"/>
          <w:szCs w:val="24"/>
          <w:lang w:val="en-GB"/>
        </w:rPr>
        <w:t xml:space="preserve">The MFA will make the final selection of application(s) based on the scoring of the full project proposals. The MFA will inform the applicants about the outcome of the evaluation by </w:t>
      </w:r>
      <w:r w:rsidR="007E0C1C" w:rsidRPr="000F6BA7">
        <w:rPr>
          <w:rFonts w:ascii="Times New Roman" w:hAnsi="Times New Roman" w:cs="Times New Roman"/>
          <w:b/>
          <w:sz w:val="24"/>
          <w:szCs w:val="24"/>
          <w:lang w:val="en-US"/>
        </w:rPr>
        <w:t>June</w:t>
      </w:r>
      <w:r w:rsidRPr="000F6BA7">
        <w:rPr>
          <w:rFonts w:ascii="Times New Roman" w:hAnsi="Times New Roman" w:cs="Times New Roman"/>
          <w:b/>
          <w:sz w:val="24"/>
          <w:szCs w:val="24"/>
          <w:lang w:val="en-US"/>
        </w:rPr>
        <w:t xml:space="preserve"> </w:t>
      </w:r>
      <w:r w:rsidR="007E0C1C" w:rsidRPr="000F6BA7">
        <w:rPr>
          <w:rFonts w:ascii="Times New Roman" w:hAnsi="Times New Roman" w:cs="Times New Roman"/>
          <w:b/>
          <w:sz w:val="24"/>
          <w:szCs w:val="24"/>
          <w:lang w:val="en-US"/>
        </w:rPr>
        <w:t>30</w:t>
      </w:r>
      <w:r w:rsidRPr="000F6BA7">
        <w:rPr>
          <w:rFonts w:ascii="Times New Roman" w:hAnsi="Times New Roman" w:cs="Times New Roman"/>
          <w:b/>
          <w:sz w:val="24"/>
          <w:szCs w:val="24"/>
          <w:lang w:val="en-US"/>
        </w:rPr>
        <w:t>, 2026.</w:t>
      </w:r>
    </w:p>
    <w:p w14:paraId="56C6F385" w14:textId="77777777" w:rsidR="00660D6D" w:rsidRPr="000F6BA7" w:rsidRDefault="00660D6D" w:rsidP="000F6BA7">
      <w:pPr>
        <w:spacing w:after="0" w:line="240" w:lineRule="auto"/>
        <w:jc w:val="both"/>
        <w:rPr>
          <w:rFonts w:ascii="Times New Roman" w:eastAsia="Times New Roman" w:hAnsi="Times New Roman" w:cs="Times New Roman"/>
          <w:color w:val="000000"/>
          <w:sz w:val="24"/>
          <w:szCs w:val="24"/>
          <w:lang w:val="en-US" w:eastAsia="da-DK"/>
        </w:rPr>
      </w:pPr>
    </w:p>
    <w:p w14:paraId="29791EF8" w14:textId="77777777" w:rsidR="00660D6D" w:rsidRPr="000F6BA7" w:rsidRDefault="00660D6D" w:rsidP="000F6BA7">
      <w:p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The MFA reserves the right to reject applications that do not conform to the instructions at any stage of the selection process.</w:t>
      </w:r>
    </w:p>
    <w:p w14:paraId="26A5C7EB" w14:textId="77777777" w:rsidR="00660D6D" w:rsidRPr="000F6BA7" w:rsidRDefault="00660D6D" w:rsidP="000F6BA7">
      <w:pPr>
        <w:spacing w:after="0" w:line="240" w:lineRule="auto"/>
        <w:jc w:val="both"/>
        <w:rPr>
          <w:rFonts w:ascii="Times New Roman" w:hAnsi="Times New Roman" w:cs="Times New Roman"/>
          <w:sz w:val="24"/>
          <w:szCs w:val="24"/>
          <w:lang w:val="en-GB"/>
        </w:rPr>
      </w:pPr>
    </w:p>
    <w:p w14:paraId="40F34236" w14:textId="77777777" w:rsidR="00660D6D" w:rsidRPr="000F6BA7" w:rsidRDefault="00660D6D" w:rsidP="000F6BA7">
      <w:pPr>
        <w:pStyle w:val="ListParagraph"/>
        <w:numPr>
          <w:ilvl w:val="0"/>
          <w:numId w:val="10"/>
        </w:num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Final eligibility assessment</w:t>
      </w:r>
    </w:p>
    <w:p w14:paraId="4F3FE22A" w14:textId="77777777" w:rsidR="00660D6D" w:rsidRPr="000F6BA7" w:rsidRDefault="00660D6D" w:rsidP="000F6BA7">
      <w:p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lastRenderedPageBreak/>
        <w:t>Before the final award of grant, the MFA must conduct a final eligibility assessment, e.g., by requiring supporting documents and initiating further inquiries as part of the MFA’s obligation to carry out a partner assessment/ due diligence review (cf. MFA Financial Management Guidelines for Development Cooperation)</w:t>
      </w:r>
      <w:r w:rsidRPr="000F6BA7">
        <w:rPr>
          <w:rStyle w:val="FootnoteReference"/>
          <w:rFonts w:ascii="Times New Roman" w:hAnsi="Times New Roman" w:cs="Times New Roman"/>
          <w:sz w:val="24"/>
          <w:szCs w:val="24"/>
          <w:lang w:val="en-GB"/>
        </w:rPr>
        <w:footnoteReference w:id="1"/>
      </w:r>
      <w:r w:rsidRPr="000F6BA7">
        <w:rPr>
          <w:rFonts w:ascii="Times New Roman" w:hAnsi="Times New Roman" w:cs="Times New Roman"/>
          <w:sz w:val="24"/>
          <w:szCs w:val="24"/>
          <w:lang w:val="en-GB"/>
        </w:rPr>
        <w:t xml:space="preserve">.  The purpose of this assessment is to ascertain grant recipients’ financial, operational, organisational capacity and compliance with general safeguards and MFA requirements. </w:t>
      </w:r>
    </w:p>
    <w:p w14:paraId="60D44936" w14:textId="77777777" w:rsidR="00660D6D" w:rsidRPr="000F6BA7" w:rsidRDefault="00660D6D" w:rsidP="000F6BA7">
      <w:pPr>
        <w:spacing w:after="0" w:line="240" w:lineRule="auto"/>
        <w:jc w:val="both"/>
        <w:rPr>
          <w:rFonts w:ascii="Times New Roman" w:hAnsi="Times New Roman" w:cs="Times New Roman"/>
          <w:sz w:val="24"/>
          <w:szCs w:val="24"/>
          <w:lang w:val="en-GB"/>
        </w:rPr>
      </w:pPr>
    </w:p>
    <w:p w14:paraId="4B09824B" w14:textId="77777777" w:rsidR="00660D6D" w:rsidRPr="000F6BA7" w:rsidRDefault="00660D6D" w:rsidP="000F6BA7">
      <w:pPr>
        <w:pStyle w:val="ListParagraph"/>
        <w:numPr>
          <w:ilvl w:val="0"/>
          <w:numId w:val="10"/>
        </w:num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Administration and dialogue with the MFA</w:t>
      </w:r>
    </w:p>
    <w:p w14:paraId="46D863BE" w14:textId="77777777" w:rsidR="00660D6D" w:rsidRPr="000F6BA7" w:rsidRDefault="00660D6D" w:rsidP="000F6BA7">
      <w:p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The call for proposals and the subsequent project/grant will be managed by Component 4: </w:t>
      </w:r>
      <w:r w:rsidRPr="000F6BA7">
        <w:rPr>
          <w:rStyle w:val="Emphasis"/>
          <w:rFonts w:ascii="Times New Roman" w:hAnsi="Times New Roman" w:cs="Times New Roman"/>
          <w:sz w:val="24"/>
          <w:szCs w:val="24"/>
          <w:lang w:val="en-GB"/>
        </w:rPr>
        <w:t>Civil society and media engagement in preventing and fighting corruption</w:t>
      </w:r>
      <w:r w:rsidRPr="000F6BA7">
        <w:rPr>
          <w:rFonts w:ascii="Times New Roman" w:hAnsi="Times New Roman" w:cs="Times New Roman"/>
          <w:sz w:val="24"/>
          <w:szCs w:val="24"/>
          <w:lang w:val="en-GB"/>
        </w:rPr>
        <w:t>.</w:t>
      </w:r>
    </w:p>
    <w:p w14:paraId="76774A75" w14:textId="77777777" w:rsidR="00660D6D" w:rsidRPr="000F6BA7" w:rsidRDefault="00660D6D" w:rsidP="000F6BA7">
      <w:pPr>
        <w:spacing w:after="0" w:line="240" w:lineRule="auto"/>
        <w:jc w:val="both"/>
        <w:rPr>
          <w:rFonts w:ascii="Times New Roman" w:hAnsi="Times New Roman" w:cs="Times New Roman"/>
          <w:sz w:val="24"/>
          <w:szCs w:val="24"/>
          <w:lang w:val="en-GB"/>
        </w:rPr>
      </w:pPr>
    </w:p>
    <w:p w14:paraId="597073EC" w14:textId="77777777" w:rsidR="00660D6D" w:rsidRPr="000F6BA7" w:rsidRDefault="00660D6D" w:rsidP="000F6BA7">
      <w:p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The grant will be administered according to the Guidelines for bilateral cooperation </w:t>
      </w:r>
      <w:hyperlink r:id="rId12" w:history="1">
        <w:r w:rsidRPr="000F6BA7">
          <w:rPr>
            <w:rFonts w:ascii="Times New Roman" w:hAnsi="Times New Roman" w:cs="Times New Roman"/>
            <w:i/>
            <w:iCs/>
            <w:color w:val="0000FF"/>
            <w:sz w:val="24"/>
            <w:szCs w:val="24"/>
            <w:u w:val="single"/>
            <w:lang w:val="en-GB"/>
          </w:rPr>
          <w:t>Guidelines for Programmes, Projects, Country Strategic Frameworks &amp; Hard Earmarked Multilateral Support</w:t>
        </w:r>
      </w:hyperlink>
      <w:r w:rsidRPr="000F6BA7">
        <w:rPr>
          <w:rFonts w:ascii="Times New Roman" w:hAnsi="Times New Roman" w:cs="Times New Roman"/>
          <w:sz w:val="24"/>
          <w:szCs w:val="24"/>
          <w:lang w:val="en-GB"/>
        </w:rPr>
        <w:t>]</w:t>
      </w:r>
    </w:p>
    <w:p w14:paraId="4A1C03AB" w14:textId="77777777" w:rsidR="00660D6D" w:rsidRPr="000F6BA7" w:rsidRDefault="00660D6D" w:rsidP="000F6BA7">
      <w:pPr>
        <w:spacing w:after="0" w:line="240" w:lineRule="auto"/>
        <w:jc w:val="both"/>
        <w:rPr>
          <w:rFonts w:ascii="Times New Roman" w:hAnsi="Times New Roman" w:cs="Times New Roman"/>
          <w:sz w:val="24"/>
          <w:szCs w:val="24"/>
          <w:lang w:val="en-GB"/>
        </w:rPr>
      </w:pPr>
    </w:p>
    <w:p w14:paraId="2FC59648" w14:textId="77777777" w:rsidR="00660D6D" w:rsidRPr="000F6BA7" w:rsidRDefault="00660D6D" w:rsidP="000F6BA7">
      <w:pPr>
        <w:pStyle w:val="ListParagraph"/>
        <w:numPr>
          <w:ilvl w:val="0"/>
          <w:numId w:val="10"/>
        </w:numPr>
        <w:spacing w:after="0" w:line="240" w:lineRule="auto"/>
        <w:jc w:val="both"/>
        <w:rPr>
          <w:rFonts w:ascii="Times New Roman" w:hAnsi="Times New Roman" w:cs="Times New Roman"/>
          <w:b/>
          <w:bCs/>
          <w:sz w:val="24"/>
          <w:szCs w:val="24"/>
          <w:lang w:val="en-GB"/>
        </w:rPr>
      </w:pPr>
      <w:r w:rsidRPr="000F6BA7">
        <w:rPr>
          <w:rFonts w:ascii="Times New Roman" w:hAnsi="Times New Roman" w:cs="Times New Roman"/>
          <w:b/>
          <w:bCs/>
          <w:sz w:val="24"/>
          <w:szCs w:val="24"/>
          <w:lang w:val="en-GB"/>
        </w:rPr>
        <w:t>Tentative timetable for the application and selection process</w:t>
      </w:r>
    </w:p>
    <w:p w14:paraId="4A2315DB" w14:textId="77777777" w:rsidR="00660D6D" w:rsidRPr="000F6BA7" w:rsidRDefault="00660D6D" w:rsidP="000F6BA7">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848"/>
        <w:gridCol w:w="3098"/>
      </w:tblGrid>
      <w:tr w:rsidR="00660D6D" w:rsidRPr="000F6BA7" w14:paraId="1E4E5CBC" w14:textId="77777777" w:rsidTr="00263DE2">
        <w:trPr>
          <w:trHeight w:val="271"/>
        </w:trPr>
        <w:tc>
          <w:tcPr>
            <w:tcW w:w="5848" w:type="dxa"/>
            <w:tcBorders>
              <w:bottom w:val="single" w:sz="4" w:space="0" w:color="auto"/>
            </w:tcBorders>
          </w:tcPr>
          <w:p w14:paraId="3F0A5A42" w14:textId="77777777" w:rsidR="00660D6D" w:rsidRPr="000F6BA7" w:rsidRDefault="00660D6D" w:rsidP="000F6BA7">
            <w:pPr>
              <w:spacing w:line="240" w:lineRule="auto"/>
              <w:jc w:val="both"/>
              <w:rPr>
                <w:rFonts w:ascii="Times New Roman" w:hAnsi="Times New Roman" w:cs="Times New Roman"/>
                <w:sz w:val="24"/>
                <w:szCs w:val="24"/>
                <w:lang w:val="en-GB"/>
              </w:rPr>
            </w:pPr>
          </w:p>
        </w:tc>
        <w:tc>
          <w:tcPr>
            <w:tcW w:w="3098" w:type="dxa"/>
            <w:shd w:val="clear" w:color="auto" w:fill="D9D9D9" w:themeFill="background1" w:themeFillShade="D9"/>
          </w:tcPr>
          <w:p w14:paraId="0B357ECE" w14:textId="77777777" w:rsidR="00660D6D" w:rsidRPr="000F6BA7" w:rsidRDefault="00660D6D" w:rsidP="000F6BA7">
            <w:pPr>
              <w:spacing w:line="240" w:lineRule="auto"/>
              <w:jc w:val="both"/>
              <w:rPr>
                <w:rFonts w:ascii="Times New Roman" w:hAnsi="Times New Roman" w:cs="Times New Roman"/>
                <w:b/>
                <w:sz w:val="24"/>
                <w:szCs w:val="24"/>
                <w:lang w:val="en-GB"/>
              </w:rPr>
            </w:pPr>
            <w:r w:rsidRPr="000F6BA7">
              <w:rPr>
                <w:rFonts w:ascii="Times New Roman" w:hAnsi="Times New Roman" w:cs="Times New Roman"/>
                <w:b/>
                <w:sz w:val="24"/>
                <w:szCs w:val="24"/>
                <w:lang w:val="en-GB"/>
              </w:rPr>
              <w:t>Date, Kyiv time</w:t>
            </w:r>
          </w:p>
        </w:tc>
      </w:tr>
      <w:tr w:rsidR="00660D6D" w:rsidRPr="000F6BA7" w14:paraId="6F39F120" w14:textId="77777777" w:rsidTr="00263DE2">
        <w:trPr>
          <w:trHeight w:val="271"/>
        </w:trPr>
        <w:tc>
          <w:tcPr>
            <w:tcW w:w="5848" w:type="dxa"/>
            <w:shd w:val="clear" w:color="auto" w:fill="D9D9D9" w:themeFill="background1" w:themeFillShade="D9"/>
          </w:tcPr>
          <w:p w14:paraId="3F485F1B" w14:textId="77777777" w:rsidR="00660D6D" w:rsidRPr="000F6BA7" w:rsidRDefault="00660D6D" w:rsidP="000F6BA7">
            <w:pPr>
              <w:pStyle w:val="ListParagraph"/>
              <w:numPr>
                <w:ilvl w:val="0"/>
                <w:numId w:val="36"/>
              </w:num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 xml:space="preserve">Call for proposals published/forwarded </w:t>
            </w:r>
          </w:p>
        </w:tc>
        <w:tc>
          <w:tcPr>
            <w:tcW w:w="3098" w:type="dxa"/>
          </w:tcPr>
          <w:p w14:paraId="56755B3C" w14:textId="6FD95E90" w:rsidR="00660D6D" w:rsidRPr="000F6BA7" w:rsidRDefault="007E0C1C" w:rsidP="000F6BA7">
            <w:pPr>
              <w:spacing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highlight w:val="yellow"/>
                <w:lang w:val="en-GB"/>
              </w:rPr>
              <w:t>April</w:t>
            </w:r>
            <w:r w:rsidR="00660D6D" w:rsidRPr="000F6BA7">
              <w:rPr>
                <w:rFonts w:ascii="Times New Roman" w:hAnsi="Times New Roman" w:cs="Times New Roman"/>
                <w:sz w:val="24"/>
                <w:szCs w:val="24"/>
                <w:highlight w:val="yellow"/>
                <w:lang w:val="en-GB"/>
              </w:rPr>
              <w:t xml:space="preserve">, </w:t>
            </w:r>
            <w:r w:rsidR="00660D6D" w:rsidRPr="000F6BA7">
              <w:rPr>
                <w:rFonts w:ascii="Times New Roman" w:hAnsi="Times New Roman" w:cs="Times New Roman"/>
                <w:sz w:val="24"/>
                <w:szCs w:val="24"/>
                <w:highlight w:val="yellow"/>
              </w:rPr>
              <w:t>2</w:t>
            </w:r>
            <w:r w:rsidR="00BF5373">
              <w:rPr>
                <w:rFonts w:ascii="Times New Roman" w:hAnsi="Times New Roman" w:cs="Times New Roman"/>
                <w:sz w:val="24"/>
                <w:szCs w:val="24"/>
                <w:highlight w:val="yellow"/>
              </w:rPr>
              <w:t>7</w:t>
            </w:r>
            <w:r w:rsidR="00660D6D" w:rsidRPr="000F6BA7">
              <w:rPr>
                <w:rFonts w:ascii="Times New Roman" w:hAnsi="Times New Roman" w:cs="Times New Roman"/>
                <w:sz w:val="24"/>
                <w:szCs w:val="24"/>
                <w:highlight w:val="yellow"/>
                <w:lang w:val="en-GB"/>
              </w:rPr>
              <w:t>, 2026</w:t>
            </w:r>
          </w:p>
        </w:tc>
      </w:tr>
      <w:tr w:rsidR="00660D6D" w:rsidRPr="000F6BA7" w14:paraId="4898B0EA" w14:textId="77777777" w:rsidTr="00263DE2">
        <w:trPr>
          <w:trHeight w:val="533"/>
        </w:trPr>
        <w:tc>
          <w:tcPr>
            <w:tcW w:w="5848" w:type="dxa"/>
            <w:shd w:val="clear" w:color="auto" w:fill="D9D9D9" w:themeFill="background1" w:themeFillShade="D9"/>
          </w:tcPr>
          <w:p w14:paraId="1CE43AC9" w14:textId="77777777" w:rsidR="00660D6D" w:rsidRPr="000F6BA7" w:rsidRDefault="00660D6D" w:rsidP="000F6BA7">
            <w:pPr>
              <w:pStyle w:val="ListParagraph"/>
              <w:numPr>
                <w:ilvl w:val="0"/>
                <w:numId w:val="36"/>
              </w:num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Deadline for issuing Q&amp;A</w:t>
            </w:r>
          </w:p>
        </w:tc>
        <w:tc>
          <w:tcPr>
            <w:tcW w:w="3098" w:type="dxa"/>
          </w:tcPr>
          <w:p w14:paraId="7AAFE2B2" w14:textId="67CD7B8E" w:rsidR="00660D6D" w:rsidRPr="000F6BA7" w:rsidRDefault="007E0C1C" w:rsidP="000F6BA7">
            <w:pPr>
              <w:spacing w:line="240" w:lineRule="auto"/>
              <w:jc w:val="both"/>
              <w:rPr>
                <w:rFonts w:ascii="Times New Roman" w:hAnsi="Times New Roman" w:cs="Times New Roman"/>
                <w:sz w:val="24"/>
                <w:szCs w:val="24"/>
                <w:lang w:val="en-US"/>
              </w:rPr>
            </w:pPr>
            <w:r w:rsidRPr="000F6BA7">
              <w:rPr>
                <w:rFonts w:ascii="Times New Roman" w:hAnsi="Times New Roman" w:cs="Times New Roman"/>
                <w:sz w:val="24"/>
                <w:szCs w:val="24"/>
                <w:lang w:val="en-US"/>
              </w:rPr>
              <w:t>May</w:t>
            </w:r>
            <w:r w:rsidR="00660D6D" w:rsidRPr="000F6BA7">
              <w:rPr>
                <w:rFonts w:ascii="Times New Roman" w:hAnsi="Times New Roman" w:cs="Times New Roman"/>
                <w:sz w:val="24"/>
                <w:szCs w:val="24"/>
                <w:lang w:val="en-US"/>
              </w:rPr>
              <w:t>,</w:t>
            </w:r>
            <w:r w:rsidRPr="000F6BA7">
              <w:rPr>
                <w:rFonts w:ascii="Times New Roman" w:hAnsi="Times New Roman" w:cs="Times New Roman"/>
                <w:sz w:val="24"/>
                <w:szCs w:val="24"/>
                <w:lang w:val="en-GB"/>
              </w:rPr>
              <w:t>22</w:t>
            </w:r>
            <w:r w:rsidR="00660D6D" w:rsidRPr="000F6BA7">
              <w:rPr>
                <w:rFonts w:ascii="Times New Roman" w:hAnsi="Times New Roman" w:cs="Times New Roman"/>
                <w:sz w:val="24"/>
                <w:szCs w:val="24"/>
              </w:rPr>
              <w:t>, 202</w:t>
            </w:r>
            <w:r w:rsidR="00660D6D" w:rsidRPr="000F6BA7">
              <w:rPr>
                <w:rFonts w:ascii="Times New Roman" w:hAnsi="Times New Roman" w:cs="Times New Roman"/>
                <w:sz w:val="24"/>
                <w:szCs w:val="24"/>
                <w:lang w:val="en-US"/>
              </w:rPr>
              <w:t>6</w:t>
            </w:r>
          </w:p>
        </w:tc>
      </w:tr>
      <w:tr w:rsidR="00660D6D" w:rsidRPr="000F6BA7" w14:paraId="03B59650" w14:textId="77777777" w:rsidTr="00263DE2">
        <w:trPr>
          <w:trHeight w:val="543"/>
        </w:trPr>
        <w:tc>
          <w:tcPr>
            <w:tcW w:w="5848" w:type="dxa"/>
            <w:shd w:val="clear" w:color="auto" w:fill="D9D9D9" w:themeFill="background1" w:themeFillShade="D9"/>
          </w:tcPr>
          <w:p w14:paraId="24C7CA5D" w14:textId="77777777" w:rsidR="00660D6D" w:rsidRPr="000F6BA7" w:rsidRDefault="00660D6D" w:rsidP="000F6BA7">
            <w:pPr>
              <w:pStyle w:val="ListParagraph"/>
              <w:numPr>
                <w:ilvl w:val="0"/>
                <w:numId w:val="36"/>
              </w:num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Deadline for submission of full project proposals</w:t>
            </w:r>
          </w:p>
        </w:tc>
        <w:tc>
          <w:tcPr>
            <w:tcW w:w="3098" w:type="dxa"/>
          </w:tcPr>
          <w:p w14:paraId="1FAB24F5" w14:textId="2E5258B9" w:rsidR="00660D6D" w:rsidRPr="000F6BA7" w:rsidRDefault="007E0C1C" w:rsidP="000F6BA7">
            <w:pPr>
              <w:spacing w:line="240" w:lineRule="auto"/>
              <w:jc w:val="both"/>
              <w:rPr>
                <w:rFonts w:ascii="Times New Roman" w:hAnsi="Times New Roman" w:cs="Times New Roman"/>
                <w:b/>
                <w:bCs/>
                <w:sz w:val="24"/>
                <w:szCs w:val="24"/>
                <w:lang w:val="en-US"/>
              </w:rPr>
            </w:pPr>
            <w:r w:rsidRPr="000F6BA7">
              <w:rPr>
                <w:rStyle w:val="Strong"/>
                <w:rFonts w:ascii="Times New Roman" w:hAnsi="Times New Roman" w:cs="Times New Roman"/>
                <w:b w:val="0"/>
                <w:bCs w:val="0"/>
                <w:sz w:val="24"/>
                <w:szCs w:val="24"/>
                <w:lang w:val="en-US"/>
              </w:rPr>
              <w:t>May</w:t>
            </w:r>
            <w:r w:rsidR="00660D6D" w:rsidRPr="000F6BA7">
              <w:rPr>
                <w:rStyle w:val="Strong"/>
                <w:rFonts w:ascii="Times New Roman" w:hAnsi="Times New Roman" w:cs="Times New Roman"/>
                <w:b w:val="0"/>
                <w:bCs w:val="0"/>
                <w:sz w:val="24"/>
                <w:szCs w:val="24"/>
                <w:lang w:val="en-US"/>
              </w:rPr>
              <w:t>,</w:t>
            </w:r>
            <w:r w:rsidR="00660D6D" w:rsidRPr="000F6BA7">
              <w:rPr>
                <w:rStyle w:val="Strong"/>
                <w:rFonts w:ascii="Times New Roman" w:hAnsi="Times New Roman" w:cs="Times New Roman"/>
                <w:b w:val="0"/>
                <w:bCs w:val="0"/>
                <w:sz w:val="24"/>
                <w:szCs w:val="24"/>
              </w:rPr>
              <w:t>2</w:t>
            </w:r>
            <w:r w:rsidRPr="000F6BA7">
              <w:rPr>
                <w:rStyle w:val="Strong"/>
                <w:rFonts w:ascii="Times New Roman" w:hAnsi="Times New Roman" w:cs="Times New Roman"/>
                <w:b w:val="0"/>
                <w:bCs w:val="0"/>
                <w:sz w:val="24"/>
                <w:szCs w:val="24"/>
                <w:lang w:val="en-GB"/>
              </w:rPr>
              <w:t>5</w:t>
            </w:r>
            <w:r w:rsidR="00660D6D" w:rsidRPr="000F6BA7">
              <w:rPr>
                <w:rStyle w:val="Strong"/>
                <w:rFonts w:ascii="Times New Roman" w:hAnsi="Times New Roman" w:cs="Times New Roman"/>
                <w:b w:val="0"/>
                <w:bCs w:val="0"/>
                <w:sz w:val="24"/>
                <w:szCs w:val="24"/>
              </w:rPr>
              <w:t>, 202</w:t>
            </w:r>
            <w:r w:rsidR="00660D6D" w:rsidRPr="000F6BA7">
              <w:rPr>
                <w:rStyle w:val="Strong"/>
                <w:rFonts w:ascii="Times New Roman" w:hAnsi="Times New Roman" w:cs="Times New Roman"/>
                <w:b w:val="0"/>
                <w:bCs w:val="0"/>
                <w:sz w:val="24"/>
                <w:szCs w:val="24"/>
                <w:lang w:val="en-US"/>
              </w:rPr>
              <w:t>6</w:t>
            </w:r>
          </w:p>
        </w:tc>
      </w:tr>
      <w:tr w:rsidR="00660D6D" w:rsidRPr="000F6BA7" w14:paraId="4FB56C7B" w14:textId="77777777" w:rsidTr="00263DE2">
        <w:trPr>
          <w:trHeight w:val="815"/>
        </w:trPr>
        <w:tc>
          <w:tcPr>
            <w:tcW w:w="5848" w:type="dxa"/>
            <w:shd w:val="clear" w:color="auto" w:fill="D9D9D9" w:themeFill="background1" w:themeFillShade="D9"/>
          </w:tcPr>
          <w:p w14:paraId="68541D3A" w14:textId="77777777" w:rsidR="00660D6D" w:rsidRPr="000F6BA7" w:rsidRDefault="00660D6D" w:rsidP="000F6BA7">
            <w:pPr>
              <w:pStyle w:val="ListParagraph"/>
              <w:numPr>
                <w:ilvl w:val="0"/>
                <w:numId w:val="36"/>
              </w:num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Information to applications on evaluation of full project proposals/notification of award of grant</w:t>
            </w:r>
          </w:p>
        </w:tc>
        <w:tc>
          <w:tcPr>
            <w:tcW w:w="3098" w:type="dxa"/>
          </w:tcPr>
          <w:p w14:paraId="7DF233AD" w14:textId="2DC80020" w:rsidR="00660D6D" w:rsidRPr="000F6BA7" w:rsidRDefault="00BF5373" w:rsidP="000F6BA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Second part</w:t>
            </w:r>
            <w:r w:rsidR="003E67E7" w:rsidRPr="000F6BA7">
              <w:rPr>
                <w:rFonts w:ascii="Times New Roman" w:hAnsi="Times New Roman" w:cs="Times New Roman"/>
                <w:sz w:val="24"/>
                <w:szCs w:val="24"/>
                <w:lang w:val="en-US"/>
              </w:rPr>
              <w:t xml:space="preserve"> of June</w:t>
            </w:r>
            <w:r w:rsidR="00660D6D" w:rsidRPr="000F6BA7">
              <w:rPr>
                <w:rFonts w:ascii="Times New Roman" w:hAnsi="Times New Roman" w:cs="Times New Roman"/>
                <w:sz w:val="24"/>
                <w:szCs w:val="24"/>
                <w:lang w:val="en-US"/>
              </w:rPr>
              <w:t>, 2026</w:t>
            </w:r>
          </w:p>
        </w:tc>
      </w:tr>
      <w:tr w:rsidR="00660D6D" w:rsidRPr="000F6BA7" w14:paraId="798AD74D" w14:textId="77777777" w:rsidTr="00263DE2">
        <w:trPr>
          <w:trHeight w:val="543"/>
        </w:trPr>
        <w:tc>
          <w:tcPr>
            <w:tcW w:w="5848" w:type="dxa"/>
            <w:shd w:val="clear" w:color="auto" w:fill="D9D9D9" w:themeFill="background1" w:themeFillShade="D9"/>
          </w:tcPr>
          <w:p w14:paraId="7E0F959A" w14:textId="77777777" w:rsidR="00660D6D" w:rsidRPr="000F6BA7" w:rsidRDefault="00660D6D" w:rsidP="000F6BA7">
            <w:pPr>
              <w:pStyle w:val="ListParagraph"/>
              <w:numPr>
                <w:ilvl w:val="0"/>
                <w:numId w:val="36"/>
              </w:numPr>
              <w:spacing w:after="0"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Signature of grant agreement</w:t>
            </w:r>
          </w:p>
        </w:tc>
        <w:tc>
          <w:tcPr>
            <w:tcW w:w="3098" w:type="dxa"/>
          </w:tcPr>
          <w:p w14:paraId="222224E6" w14:textId="77777777" w:rsidR="00660D6D" w:rsidRPr="000F6BA7" w:rsidRDefault="00660D6D" w:rsidP="000F6BA7">
            <w:pPr>
              <w:spacing w:line="240" w:lineRule="auto"/>
              <w:jc w:val="both"/>
              <w:rPr>
                <w:rFonts w:ascii="Times New Roman" w:hAnsi="Times New Roman" w:cs="Times New Roman"/>
                <w:sz w:val="24"/>
                <w:szCs w:val="24"/>
                <w:lang w:val="en-US"/>
              </w:rPr>
            </w:pPr>
            <w:r w:rsidRPr="000F6BA7">
              <w:rPr>
                <w:rFonts w:ascii="Times New Roman" w:hAnsi="Times New Roman" w:cs="Times New Roman"/>
                <w:sz w:val="24"/>
                <w:szCs w:val="24"/>
                <w:lang w:val="en-GB"/>
              </w:rPr>
              <w:t xml:space="preserve"> </w:t>
            </w:r>
            <w:r w:rsidR="007E0C1C" w:rsidRPr="000F6BA7">
              <w:rPr>
                <w:rFonts w:ascii="Times New Roman" w:hAnsi="Times New Roman" w:cs="Times New Roman"/>
                <w:sz w:val="24"/>
                <w:szCs w:val="24"/>
                <w:lang w:val="en-US"/>
              </w:rPr>
              <w:t xml:space="preserve">Second part of June, </w:t>
            </w:r>
            <w:r w:rsidRPr="000F6BA7">
              <w:rPr>
                <w:rFonts w:ascii="Times New Roman" w:hAnsi="Times New Roman" w:cs="Times New Roman"/>
                <w:sz w:val="24"/>
                <w:szCs w:val="24"/>
                <w:lang w:val="en-US"/>
              </w:rPr>
              <w:t>2026.</w:t>
            </w:r>
          </w:p>
          <w:p w14:paraId="36EB3CDE" w14:textId="4DF237C5" w:rsidR="003E67E7" w:rsidRPr="000F6BA7" w:rsidRDefault="003E67E7" w:rsidP="000F6BA7">
            <w:pPr>
              <w:spacing w:line="240" w:lineRule="auto"/>
              <w:jc w:val="both"/>
              <w:rPr>
                <w:rFonts w:ascii="Times New Roman" w:hAnsi="Times New Roman" w:cs="Times New Roman"/>
                <w:sz w:val="24"/>
                <w:szCs w:val="24"/>
                <w:lang w:val="en-GB"/>
              </w:rPr>
            </w:pPr>
            <w:r w:rsidRPr="000F6BA7">
              <w:rPr>
                <w:rFonts w:ascii="Times New Roman" w:hAnsi="Times New Roman" w:cs="Times New Roman"/>
                <w:sz w:val="24"/>
                <w:szCs w:val="24"/>
                <w:lang w:val="en-GB"/>
              </w:rPr>
              <w:t>Beginning of the projects from July,01,2026</w:t>
            </w:r>
          </w:p>
        </w:tc>
      </w:tr>
    </w:tbl>
    <w:p w14:paraId="5E72B030" w14:textId="77777777" w:rsidR="00660D6D" w:rsidRPr="000F6BA7" w:rsidRDefault="00660D6D" w:rsidP="000F6BA7">
      <w:pPr>
        <w:spacing w:after="0" w:line="240" w:lineRule="auto"/>
        <w:jc w:val="both"/>
        <w:rPr>
          <w:rFonts w:ascii="Times New Roman" w:hAnsi="Times New Roman" w:cs="Times New Roman"/>
          <w:sz w:val="24"/>
          <w:szCs w:val="24"/>
          <w:lang w:val="en-GB"/>
        </w:rPr>
      </w:pPr>
    </w:p>
    <w:p w14:paraId="70DE0E28" w14:textId="77777777" w:rsidR="00660D6D" w:rsidRPr="000F6BA7" w:rsidRDefault="00660D6D" w:rsidP="000F6BA7">
      <w:pPr>
        <w:spacing w:after="200" w:line="240" w:lineRule="auto"/>
        <w:jc w:val="both"/>
        <w:rPr>
          <w:rFonts w:ascii="Times New Roman" w:hAnsi="Times New Roman" w:cs="Times New Roman"/>
          <w:sz w:val="24"/>
          <w:szCs w:val="24"/>
          <w:lang w:val="en-US"/>
        </w:rPr>
      </w:pPr>
    </w:p>
    <w:p w14:paraId="11D203E1" w14:textId="77777777" w:rsidR="00660D6D" w:rsidRPr="000F6BA7" w:rsidRDefault="00660D6D" w:rsidP="000F6BA7">
      <w:pPr>
        <w:spacing w:before="100" w:beforeAutospacing="1" w:after="100" w:afterAutospacing="1" w:line="240" w:lineRule="auto"/>
        <w:jc w:val="both"/>
        <w:rPr>
          <w:rFonts w:ascii="Times New Roman" w:hAnsi="Times New Roman" w:cs="Times New Roman"/>
          <w:sz w:val="24"/>
          <w:szCs w:val="24"/>
          <w:lang w:val="en-US"/>
        </w:rPr>
      </w:pPr>
    </w:p>
    <w:p w14:paraId="3BB664EE" w14:textId="77777777" w:rsidR="00660D6D" w:rsidRPr="000F6BA7" w:rsidRDefault="00660D6D" w:rsidP="000F6BA7">
      <w:pPr>
        <w:spacing w:after="200" w:line="240" w:lineRule="auto"/>
        <w:jc w:val="both"/>
        <w:rPr>
          <w:rFonts w:ascii="Times New Roman" w:hAnsi="Times New Roman" w:cs="Times New Roman"/>
          <w:b/>
          <w:bCs/>
          <w:sz w:val="24"/>
          <w:szCs w:val="24"/>
          <w:lang w:val="en-GB"/>
        </w:rPr>
      </w:pPr>
    </w:p>
    <w:sectPr w:rsidR="00660D6D" w:rsidRPr="000F6BA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9EE2" w14:textId="77777777" w:rsidR="00660D6D" w:rsidRDefault="00660D6D" w:rsidP="00660D6D">
      <w:pPr>
        <w:spacing w:after="0" w:line="240" w:lineRule="auto"/>
      </w:pPr>
      <w:r>
        <w:separator/>
      </w:r>
    </w:p>
  </w:endnote>
  <w:endnote w:type="continuationSeparator" w:id="0">
    <w:p w14:paraId="7CD935BA" w14:textId="77777777" w:rsidR="00660D6D" w:rsidRDefault="00660D6D" w:rsidP="0066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BCF9" w14:textId="77777777" w:rsidR="00660D6D" w:rsidRDefault="00660D6D" w:rsidP="00660D6D">
      <w:pPr>
        <w:spacing w:after="0" w:line="240" w:lineRule="auto"/>
      </w:pPr>
      <w:r>
        <w:separator/>
      </w:r>
    </w:p>
  </w:footnote>
  <w:footnote w:type="continuationSeparator" w:id="0">
    <w:p w14:paraId="3E83DF03" w14:textId="77777777" w:rsidR="00660D6D" w:rsidRDefault="00660D6D" w:rsidP="00660D6D">
      <w:pPr>
        <w:spacing w:after="0" w:line="240" w:lineRule="auto"/>
      </w:pPr>
      <w:r>
        <w:continuationSeparator/>
      </w:r>
    </w:p>
  </w:footnote>
  <w:footnote w:id="1">
    <w:p w14:paraId="40EB7F38" w14:textId="77777777" w:rsidR="00660D6D" w:rsidRPr="009D77A1" w:rsidRDefault="00660D6D" w:rsidP="00660D6D">
      <w:pPr>
        <w:pStyle w:val="FootnoteText"/>
        <w:rPr>
          <w:rFonts w:ascii="Garamond" w:hAnsi="Garamond"/>
          <w:lang w:val="en-US"/>
        </w:rPr>
      </w:pPr>
      <w:r w:rsidRPr="009D77A1">
        <w:rPr>
          <w:rStyle w:val="FootnoteReference"/>
          <w:rFonts w:ascii="Garamond" w:hAnsi="Garamond"/>
        </w:rPr>
        <w:footnoteRef/>
      </w:r>
      <w:r w:rsidRPr="009D77A1">
        <w:rPr>
          <w:rFonts w:ascii="Garamond" w:hAnsi="Garamond" w:cstheme="minorHAnsi"/>
          <w:lang w:val="en-US"/>
        </w:rPr>
        <w:t xml:space="preserve"> </w:t>
      </w:r>
      <w:hyperlink r:id="rId1" w:history="1">
        <w:r w:rsidRPr="009D77A1">
          <w:rPr>
            <w:rStyle w:val="Hyperlink"/>
            <w:rFonts w:ascii="Garamond" w:hAnsi="Garamond" w:cstheme="minorHAnsi"/>
            <w:lang w:val="en-US"/>
          </w:rPr>
          <w:t>https://amg.um.dk/bilateral-cooperation/financial-management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2C1"/>
    <w:multiLevelType w:val="multilevel"/>
    <w:tmpl w:val="482067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416936"/>
    <w:multiLevelType w:val="multilevel"/>
    <w:tmpl w:val="EE76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713C2"/>
    <w:multiLevelType w:val="multilevel"/>
    <w:tmpl w:val="35B6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866"/>
    <w:multiLevelType w:val="hybridMultilevel"/>
    <w:tmpl w:val="B69C24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BF1622"/>
    <w:multiLevelType w:val="hybridMultilevel"/>
    <w:tmpl w:val="A1BC3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896A6C"/>
    <w:multiLevelType w:val="multilevel"/>
    <w:tmpl w:val="E4E26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CA541D4"/>
    <w:multiLevelType w:val="hybridMultilevel"/>
    <w:tmpl w:val="4928F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3D4EF4"/>
    <w:multiLevelType w:val="multilevel"/>
    <w:tmpl w:val="78002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09A20D9"/>
    <w:multiLevelType w:val="multilevel"/>
    <w:tmpl w:val="D9BE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47536"/>
    <w:multiLevelType w:val="multilevel"/>
    <w:tmpl w:val="D0C82E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4FD6292"/>
    <w:multiLevelType w:val="multilevel"/>
    <w:tmpl w:val="8A6CB6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BA11920"/>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3633598"/>
    <w:multiLevelType w:val="multilevel"/>
    <w:tmpl w:val="B1827CA8"/>
    <w:lvl w:ilvl="0">
      <w:start w:val="10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2E37BB"/>
    <w:multiLevelType w:val="multilevel"/>
    <w:tmpl w:val="7A7C881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AF6F1A"/>
    <w:multiLevelType w:val="multilevel"/>
    <w:tmpl w:val="0942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857EA"/>
    <w:multiLevelType w:val="multilevel"/>
    <w:tmpl w:val="C812DB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3E016F61"/>
    <w:multiLevelType w:val="multilevel"/>
    <w:tmpl w:val="43E63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4C90A2E"/>
    <w:multiLevelType w:val="multilevel"/>
    <w:tmpl w:val="80E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14965"/>
    <w:multiLevelType w:val="multilevel"/>
    <w:tmpl w:val="D76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B6028"/>
    <w:multiLevelType w:val="multilevel"/>
    <w:tmpl w:val="6390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56D92"/>
    <w:multiLevelType w:val="multilevel"/>
    <w:tmpl w:val="77E2B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E0B3C88"/>
    <w:multiLevelType w:val="hybridMultilevel"/>
    <w:tmpl w:val="F8BC0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592A7E"/>
    <w:multiLevelType w:val="multilevel"/>
    <w:tmpl w:val="A190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E5E6D"/>
    <w:multiLevelType w:val="multilevel"/>
    <w:tmpl w:val="9BB878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6566CB3"/>
    <w:multiLevelType w:val="multilevel"/>
    <w:tmpl w:val="DB18C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A774FE2"/>
    <w:multiLevelType w:val="hybridMultilevel"/>
    <w:tmpl w:val="DB6AEAF4"/>
    <w:lvl w:ilvl="0" w:tplc="DCE021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F36B1"/>
    <w:multiLevelType w:val="multilevel"/>
    <w:tmpl w:val="B4DA8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800476"/>
    <w:multiLevelType w:val="multilevel"/>
    <w:tmpl w:val="C84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27C96"/>
    <w:multiLevelType w:val="multilevel"/>
    <w:tmpl w:val="B4CA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B2C13"/>
    <w:multiLevelType w:val="multilevel"/>
    <w:tmpl w:val="119A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A53D69"/>
    <w:multiLevelType w:val="hybridMultilevel"/>
    <w:tmpl w:val="B10E052E"/>
    <w:lvl w:ilvl="0" w:tplc="5A06FF3E">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60B8D"/>
    <w:multiLevelType w:val="hybridMultilevel"/>
    <w:tmpl w:val="B7AA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85816"/>
    <w:multiLevelType w:val="hybridMultilevel"/>
    <w:tmpl w:val="F4CC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25"/>
  </w:num>
  <w:num w:numId="5">
    <w:abstractNumId w:val="10"/>
  </w:num>
  <w:num w:numId="6">
    <w:abstractNumId w:val="17"/>
  </w:num>
  <w:num w:numId="7">
    <w:abstractNumId w:val="24"/>
  </w:num>
  <w:num w:numId="8">
    <w:abstractNumId w:val="5"/>
  </w:num>
  <w:num w:numId="9">
    <w:abstractNumId w:val="24"/>
  </w:num>
  <w:num w:numId="10">
    <w:abstractNumId w:val="11"/>
  </w:num>
  <w:num w:numId="11">
    <w:abstractNumId w:val="27"/>
  </w:num>
  <w:num w:numId="12">
    <w:abstractNumId w:val="12"/>
  </w:num>
  <w:num w:numId="13">
    <w:abstractNumId w:val="0"/>
  </w:num>
  <w:num w:numId="14">
    <w:abstractNumId w:val="7"/>
  </w:num>
  <w:num w:numId="15">
    <w:abstractNumId w:val="15"/>
  </w:num>
  <w:num w:numId="16">
    <w:abstractNumId w:val="13"/>
  </w:num>
  <w:num w:numId="17">
    <w:abstractNumId w:val="31"/>
  </w:num>
  <w:num w:numId="18">
    <w:abstractNumId w:val="2"/>
  </w:num>
  <w:num w:numId="19">
    <w:abstractNumId w:val="29"/>
  </w:num>
  <w:num w:numId="20">
    <w:abstractNumId w:val="30"/>
  </w:num>
  <w:num w:numId="21">
    <w:abstractNumId w:val="28"/>
  </w:num>
  <w:num w:numId="22">
    <w:abstractNumId w:val="18"/>
  </w:num>
  <w:num w:numId="23">
    <w:abstractNumId w:val="22"/>
  </w:num>
  <w:num w:numId="24">
    <w:abstractNumId w:val="3"/>
  </w:num>
  <w:num w:numId="25">
    <w:abstractNumId w:val="33"/>
  </w:num>
  <w:num w:numId="26">
    <w:abstractNumId w:val="6"/>
  </w:num>
  <w:num w:numId="27">
    <w:abstractNumId w:val="32"/>
  </w:num>
  <w:num w:numId="28">
    <w:abstractNumId w:val="26"/>
  </w:num>
  <w:num w:numId="29">
    <w:abstractNumId w:val="1"/>
  </w:num>
  <w:num w:numId="30">
    <w:abstractNumId w:val="4"/>
  </w:num>
  <w:num w:numId="31">
    <w:abstractNumId w:val="19"/>
  </w:num>
  <w:num w:numId="32">
    <w:abstractNumId w:val="34"/>
  </w:num>
  <w:num w:numId="33">
    <w:abstractNumId w:val="23"/>
  </w:num>
  <w:num w:numId="34">
    <w:abstractNumId w:val="20"/>
  </w:num>
  <w:num w:numId="35">
    <w:abstractNumId w:val="8"/>
  </w:num>
  <w:num w:numId="36">
    <w:abstractNumId w:val="1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EB"/>
    <w:rsid w:val="000169E8"/>
    <w:rsid w:val="000245AC"/>
    <w:rsid w:val="00047629"/>
    <w:rsid w:val="000562C2"/>
    <w:rsid w:val="000719FA"/>
    <w:rsid w:val="0009566B"/>
    <w:rsid w:val="000B3779"/>
    <w:rsid w:val="000B58B1"/>
    <w:rsid w:val="000B5DED"/>
    <w:rsid w:val="000C6EE5"/>
    <w:rsid w:val="000E0282"/>
    <w:rsid w:val="000E3B99"/>
    <w:rsid w:val="000F6BA7"/>
    <w:rsid w:val="00110A73"/>
    <w:rsid w:val="00112F98"/>
    <w:rsid w:val="001200E2"/>
    <w:rsid w:val="001243F1"/>
    <w:rsid w:val="001347CC"/>
    <w:rsid w:val="001473B6"/>
    <w:rsid w:val="00180151"/>
    <w:rsid w:val="001A03BC"/>
    <w:rsid w:val="001D0EBF"/>
    <w:rsid w:val="001D1ED3"/>
    <w:rsid w:val="001E00B9"/>
    <w:rsid w:val="001E314D"/>
    <w:rsid w:val="001E3428"/>
    <w:rsid w:val="00210235"/>
    <w:rsid w:val="00237BDB"/>
    <w:rsid w:val="002539FB"/>
    <w:rsid w:val="0026638C"/>
    <w:rsid w:val="00286EE9"/>
    <w:rsid w:val="00287A70"/>
    <w:rsid w:val="00293124"/>
    <w:rsid w:val="002953DA"/>
    <w:rsid w:val="002B0884"/>
    <w:rsid w:val="002D59EC"/>
    <w:rsid w:val="002F297D"/>
    <w:rsid w:val="002F3784"/>
    <w:rsid w:val="00317E36"/>
    <w:rsid w:val="00324B80"/>
    <w:rsid w:val="0034019F"/>
    <w:rsid w:val="003B0301"/>
    <w:rsid w:val="003E2C8A"/>
    <w:rsid w:val="003E67E7"/>
    <w:rsid w:val="00447480"/>
    <w:rsid w:val="00480167"/>
    <w:rsid w:val="004862E2"/>
    <w:rsid w:val="004C35BD"/>
    <w:rsid w:val="004E4F4F"/>
    <w:rsid w:val="005173B8"/>
    <w:rsid w:val="00530C61"/>
    <w:rsid w:val="0055407E"/>
    <w:rsid w:val="00554B33"/>
    <w:rsid w:val="00594BA0"/>
    <w:rsid w:val="005A7027"/>
    <w:rsid w:val="005B77C7"/>
    <w:rsid w:val="00635F0F"/>
    <w:rsid w:val="0063686C"/>
    <w:rsid w:val="006378ED"/>
    <w:rsid w:val="006441B5"/>
    <w:rsid w:val="0065480F"/>
    <w:rsid w:val="0065560B"/>
    <w:rsid w:val="00660D6D"/>
    <w:rsid w:val="00662775"/>
    <w:rsid w:val="00664901"/>
    <w:rsid w:val="006721C6"/>
    <w:rsid w:val="006730EB"/>
    <w:rsid w:val="006839E0"/>
    <w:rsid w:val="006B3576"/>
    <w:rsid w:val="006B6AB2"/>
    <w:rsid w:val="006C1E91"/>
    <w:rsid w:val="006C38EC"/>
    <w:rsid w:val="00710C34"/>
    <w:rsid w:val="00717160"/>
    <w:rsid w:val="00730876"/>
    <w:rsid w:val="00740D89"/>
    <w:rsid w:val="007764F9"/>
    <w:rsid w:val="007B3EB2"/>
    <w:rsid w:val="007D2987"/>
    <w:rsid w:val="007E0C1C"/>
    <w:rsid w:val="007F33DC"/>
    <w:rsid w:val="008519E2"/>
    <w:rsid w:val="008568EC"/>
    <w:rsid w:val="008715C0"/>
    <w:rsid w:val="00881651"/>
    <w:rsid w:val="008B512D"/>
    <w:rsid w:val="008B6FBD"/>
    <w:rsid w:val="008C650A"/>
    <w:rsid w:val="008D2F37"/>
    <w:rsid w:val="008E0E40"/>
    <w:rsid w:val="009016EE"/>
    <w:rsid w:val="00933480"/>
    <w:rsid w:val="00940802"/>
    <w:rsid w:val="009649CE"/>
    <w:rsid w:val="00966067"/>
    <w:rsid w:val="00970F1E"/>
    <w:rsid w:val="00990397"/>
    <w:rsid w:val="00997BA5"/>
    <w:rsid w:val="009B05C7"/>
    <w:rsid w:val="009B789A"/>
    <w:rsid w:val="009E05D2"/>
    <w:rsid w:val="009E1801"/>
    <w:rsid w:val="00A1461D"/>
    <w:rsid w:val="00A1719B"/>
    <w:rsid w:val="00A21CCF"/>
    <w:rsid w:val="00A3220B"/>
    <w:rsid w:val="00A35138"/>
    <w:rsid w:val="00A370CF"/>
    <w:rsid w:val="00A55E9D"/>
    <w:rsid w:val="00A65AAE"/>
    <w:rsid w:val="00AA5129"/>
    <w:rsid w:val="00AA6D44"/>
    <w:rsid w:val="00B07224"/>
    <w:rsid w:val="00B17393"/>
    <w:rsid w:val="00B7229B"/>
    <w:rsid w:val="00B97DE9"/>
    <w:rsid w:val="00BC14CA"/>
    <w:rsid w:val="00BF4BBA"/>
    <w:rsid w:val="00BF5373"/>
    <w:rsid w:val="00C05039"/>
    <w:rsid w:val="00C17FF3"/>
    <w:rsid w:val="00C432E1"/>
    <w:rsid w:val="00C459B7"/>
    <w:rsid w:val="00C76C49"/>
    <w:rsid w:val="00C928FF"/>
    <w:rsid w:val="00CA6844"/>
    <w:rsid w:val="00CC3055"/>
    <w:rsid w:val="00CD0E60"/>
    <w:rsid w:val="00CD4645"/>
    <w:rsid w:val="00CE5124"/>
    <w:rsid w:val="00CE664F"/>
    <w:rsid w:val="00D11685"/>
    <w:rsid w:val="00D410F1"/>
    <w:rsid w:val="00D60D2F"/>
    <w:rsid w:val="00D60DB3"/>
    <w:rsid w:val="00D75DF8"/>
    <w:rsid w:val="00DA3CB3"/>
    <w:rsid w:val="00DD0337"/>
    <w:rsid w:val="00E00313"/>
    <w:rsid w:val="00E105BB"/>
    <w:rsid w:val="00E144F0"/>
    <w:rsid w:val="00E3450F"/>
    <w:rsid w:val="00E53B8D"/>
    <w:rsid w:val="00E701B3"/>
    <w:rsid w:val="00E87062"/>
    <w:rsid w:val="00EC2774"/>
    <w:rsid w:val="00EE6F07"/>
    <w:rsid w:val="00EF7795"/>
    <w:rsid w:val="00F111F6"/>
    <w:rsid w:val="00F265BB"/>
    <w:rsid w:val="00FB1062"/>
    <w:rsid w:val="00FC170C"/>
    <w:rsid w:val="00FE6AFC"/>
    <w:rsid w:val="00FF0C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B190"/>
  <w15:chartTrackingRefBased/>
  <w15:docId w15:val="{5C6A7C23-EABB-47F5-992C-9E8F9D67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8EC"/>
    <w:pPr>
      <w:spacing w:after="160" w:line="256" w:lineRule="auto"/>
    </w:pPr>
    <w:rPr>
      <w:rFonts w:asciiTheme="minorHAnsi" w:hAnsiTheme="minorHAnsi"/>
      <w:sz w:val="22"/>
      <w:szCs w:val="22"/>
      <w:lang w:val="uk-UA"/>
    </w:rPr>
  </w:style>
  <w:style w:type="paragraph" w:styleId="Heading1">
    <w:name w:val="heading 1"/>
    <w:basedOn w:val="Normal"/>
    <w:next w:val="Normal"/>
    <w:link w:val="Heading1Char"/>
    <w:uiPriority w:val="9"/>
    <w:qFormat/>
    <w:rsid w:val="002102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719F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6548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38EC"/>
    <w:rPr>
      <w:b/>
      <w:bCs/>
    </w:rPr>
  </w:style>
  <w:style w:type="paragraph" w:styleId="CommentText">
    <w:name w:val="annotation text"/>
    <w:basedOn w:val="Normal"/>
    <w:link w:val="CommentTextChar"/>
    <w:uiPriority w:val="99"/>
    <w:semiHidden/>
    <w:unhideWhenUsed/>
    <w:rsid w:val="009E1801"/>
    <w:pPr>
      <w:spacing w:line="240" w:lineRule="auto"/>
    </w:pPr>
    <w:rPr>
      <w:sz w:val="20"/>
      <w:szCs w:val="20"/>
    </w:rPr>
  </w:style>
  <w:style w:type="character" w:customStyle="1" w:styleId="CommentTextChar">
    <w:name w:val="Comment Text Char"/>
    <w:basedOn w:val="DefaultParagraphFont"/>
    <w:link w:val="CommentText"/>
    <w:uiPriority w:val="99"/>
    <w:semiHidden/>
    <w:rsid w:val="009E1801"/>
    <w:rPr>
      <w:rFonts w:asciiTheme="minorHAnsi" w:hAnsiTheme="minorHAnsi"/>
      <w:lang w:val="uk-UA"/>
    </w:rPr>
  </w:style>
  <w:style w:type="character" w:styleId="CommentReference">
    <w:name w:val="annotation reference"/>
    <w:basedOn w:val="DefaultParagraphFont"/>
    <w:uiPriority w:val="99"/>
    <w:semiHidden/>
    <w:unhideWhenUsed/>
    <w:rsid w:val="009E1801"/>
    <w:rPr>
      <w:sz w:val="16"/>
      <w:szCs w:val="16"/>
    </w:rPr>
  </w:style>
  <w:style w:type="paragraph" w:styleId="BalloonText">
    <w:name w:val="Balloon Text"/>
    <w:basedOn w:val="Normal"/>
    <w:link w:val="BalloonTextChar"/>
    <w:uiPriority w:val="99"/>
    <w:semiHidden/>
    <w:unhideWhenUsed/>
    <w:rsid w:val="009E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801"/>
    <w:rPr>
      <w:rFonts w:ascii="Segoe UI" w:hAnsi="Segoe UI" w:cs="Segoe UI"/>
      <w:sz w:val="18"/>
      <w:szCs w:val="18"/>
      <w:lang w:val="uk-UA"/>
    </w:rPr>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9016EE"/>
    <w:pPr>
      <w:ind w:left="720"/>
      <w:contextualSpacing/>
    </w:pPr>
  </w:style>
  <w:style w:type="paragraph" w:styleId="CommentSubject">
    <w:name w:val="annotation subject"/>
    <w:basedOn w:val="CommentText"/>
    <w:next w:val="CommentText"/>
    <w:link w:val="CommentSubjectChar"/>
    <w:uiPriority w:val="99"/>
    <w:semiHidden/>
    <w:unhideWhenUsed/>
    <w:rsid w:val="00A35138"/>
    <w:rPr>
      <w:b/>
      <w:bCs/>
    </w:rPr>
  </w:style>
  <w:style w:type="character" w:customStyle="1" w:styleId="CommentSubjectChar">
    <w:name w:val="Comment Subject Char"/>
    <w:basedOn w:val="CommentTextChar"/>
    <w:link w:val="CommentSubject"/>
    <w:uiPriority w:val="99"/>
    <w:semiHidden/>
    <w:rsid w:val="00A35138"/>
    <w:rPr>
      <w:rFonts w:asciiTheme="minorHAnsi" w:hAnsiTheme="minorHAnsi"/>
      <w:b/>
      <w:bCs/>
      <w:lang w:val="uk-UA"/>
    </w:rPr>
  </w:style>
  <w:style w:type="character" w:styleId="Hyperlink">
    <w:name w:val="Hyperlink"/>
    <w:basedOn w:val="DefaultParagraphFont"/>
    <w:uiPriority w:val="99"/>
    <w:unhideWhenUsed/>
    <w:rsid w:val="00DD0337"/>
    <w:rPr>
      <w:color w:val="0000FF" w:themeColor="hyperlink"/>
      <w:u w:val="single"/>
    </w:rPr>
  </w:style>
  <w:style w:type="character" w:styleId="FollowedHyperlink">
    <w:name w:val="FollowedHyperlink"/>
    <w:basedOn w:val="DefaultParagraphFont"/>
    <w:uiPriority w:val="99"/>
    <w:semiHidden/>
    <w:unhideWhenUsed/>
    <w:rsid w:val="006B3576"/>
    <w:rPr>
      <w:color w:val="800080" w:themeColor="followedHyperlink"/>
      <w:u w:val="single"/>
    </w:rPr>
  </w:style>
  <w:style w:type="paragraph" w:styleId="NormalWeb">
    <w:name w:val="Normal (Web)"/>
    <w:basedOn w:val="Normal"/>
    <w:uiPriority w:val="99"/>
    <w:unhideWhenUsed/>
    <w:rsid w:val="000C6E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719FA"/>
    <w:rPr>
      <w:rFonts w:ascii="Times New Roman" w:eastAsia="Times New Roman" w:hAnsi="Times New Roman" w:cs="Times New Roman"/>
      <w:b/>
      <w:bCs/>
      <w:sz w:val="36"/>
      <w:szCs w:val="36"/>
      <w:lang w:val="en-GB" w:eastAsia="en-GB"/>
    </w:rPr>
  </w:style>
  <w:style w:type="character" w:styleId="Emphasis">
    <w:name w:val="Emphasis"/>
    <w:basedOn w:val="DefaultParagraphFont"/>
    <w:uiPriority w:val="20"/>
    <w:qFormat/>
    <w:rsid w:val="0063686C"/>
    <w:rPr>
      <w:i/>
      <w:iCs/>
    </w:rPr>
  </w:style>
  <w:style w:type="paragraph" w:customStyle="1" w:styleId="p1">
    <w:name w:val="p1"/>
    <w:basedOn w:val="Normal"/>
    <w:rsid w:val="004E4F4F"/>
    <w:pPr>
      <w:spacing w:after="0" w:line="240" w:lineRule="auto"/>
    </w:pPr>
    <w:rPr>
      <w:rFonts w:ascii="Times New Roman" w:eastAsia="Times New Roman" w:hAnsi="Times New Roman" w:cs="Times New Roman"/>
      <w:color w:val="34353C"/>
      <w:sz w:val="18"/>
      <w:szCs w:val="18"/>
      <w:lang w:eastAsia="ru-RU"/>
    </w:rPr>
  </w:style>
  <w:style w:type="character" w:customStyle="1" w:styleId="Heading1Char">
    <w:name w:val="Heading 1 Char"/>
    <w:basedOn w:val="DefaultParagraphFont"/>
    <w:link w:val="Heading1"/>
    <w:uiPriority w:val="9"/>
    <w:rsid w:val="00210235"/>
    <w:rPr>
      <w:rFonts w:asciiTheme="majorHAnsi" w:eastAsiaTheme="majorEastAsia" w:hAnsiTheme="majorHAnsi" w:cstheme="majorBidi"/>
      <w:color w:val="365F91" w:themeColor="accent1" w:themeShade="BF"/>
      <w:sz w:val="32"/>
      <w:szCs w:val="32"/>
      <w:lang w:val="uk-UA"/>
    </w:rPr>
  </w:style>
  <w:style w:type="character" w:customStyle="1" w:styleId="apple-converted-space">
    <w:name w:val="apple-converted-space"/>
    <w:basedOn w:val="DefaultParagraphFont"/>
    <w:rsid w:val="00554B33"/>
  </w:style>
  <w:style w:type="paragraph" w:customStyle="1" w:styleId="isselectedend">
    <w:name w:val="isselectedend"/>
    <w:basedOn w:val="Normal"/>
    <w:rsid w:val="00DA3C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B05C7"/>
    <w:rPr>
      <w:color w:val="605E5C"/>
      <w:shd w:val="clear" w:color="auto" w:fill="E1DFDD"/>
    </w:r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180151"/>
    <w:rPr>
      <w:rFonts w:asciiTheme="minorHAnsi" w:hAnsiTheme="minorHAnsi"/>
      <w:sz w:val="22"/>
      <w:szCs w:val="22"/>
      <w:lang w:val="uk-UA"/>
    </w:rPr>
  </w:style>
  <w:style w:type="character" w:customStyle="1" w:styleId="Heading3Char">
    <w:name w:val="Heading 3 Char"/>
    <w:basedOn w:val="DefaultParagraphFont"/>
    <w:link w:val="Heading3"/>
    <w:uiPriority w:val="9"/>
    <w:semiHidden/>
    <w:rsid w:val="0065480F"/>
    <w:rPr>
      <w:rFonts w:asciiTheme="majorHAnsi" w:eastAsiaTheme="majorEastAsia" w:hAnsiTheme="majorHAnsi" w:cstheme="majorBidi"/>
      <w:color w:val="243F60" w:themeColor="accent1" w:themeShade="7F"/>
      <w:sz w:val="24"/>
      <w:szCs w:val="24"/>
      <w:lang w:val="uk-UA"/>
    </w:rPr>
  </w:style>
  <w:style w:type="table" w:styleId="TableGrid">
    <w:name w:val="Table Grid"/>
    <w:basedOn w:val="TableNormal"/>
    <w:uiPriority w:val="59"/>
    <w:rsid w:val="00660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60D6D"/>
    <w:pPr>
      <w:spacing w:after="0" w:line="240" w:lineRule="auto"/>
    </w:pPr>
    <w:rPr>
      <w:rFonts w:ascii="Verdana" w:hAnsi="Verdana"/>
      <w:sz w:val="20"/>
      <w:szCs w:val="20"/>
      <w:lang w:val="da-DK"/>
    </w:rPr>
  </w:style>
  <w:style w:type="character" w:customStyle="1" w:styleId="FootnoteTextChar">
    <w:name w:val="Footnote Text Char"/>
    <w:basedOn w:val="DefaultParagraphFont"/>
    <w:link w:val="FootnoteText"/>
    <w:semiHidden/>
    <w:rsid w:val="00660D6D"/>
  </w:style>
  <w:style w:type="character" w:styleId="FootnoteReference">
    <w:name w:val="footnote reference"/>
    <w:basedOn w:val="DefaultParagraphFont"/>
    <w:uiPriority w:val="99"/>
    <w:semiHidden/>
    <w:unhideWhenUsed/>
    <w:rsid w:val="00660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102">
      <w:bodyDiv w:val="1"/>
      <w:marLeft w:val="0"/>
      <w:marRight w:val="0"/>
      <w:marTop w:val="0"/>
      <w:marBottom w:val="0"/>
      <w:divBdr>
        <w:top w:val="none" w:sz="0" w:space="0" w:color="auto"/>
        <w:left w:val="none" w:sz="0" w:space="0" w:color="auto"/>
        <w:bottom w:val="none" w:sz="0" w:space="0" w:color="auto"/>
        <w:right w:val="none" w:sz="0" w:space="0" w:color="auto"/>
      </w:divBdr>
    </w:div>
    <w:div w:id="81534230">
      <w:bodyDiv w:val="1"/>
      <w:marLeft w:val="0"/>
      <w:marRight w:val="0"/>
      <w:marTop w:val="0"/>
      <w:marBottom w:val="0"/>
      <w:divBdr>
        <w:top w:val="none" w:sz="0" w:space="0" w:color="auto"/>
        <w:left w:val="none" w:sz="0" w:space="0" w:color="auto"/>
        <w:bottom w:val="none" w:sz="0" w:space="0" w:color="auto"/>
        <w:right w:val="none" w:sz="0" w:space="0" w:color="auto"/>
      </w:divBdr>
    </w:div>
    <w:div w:id="418674129">
      <w:bodyDiv w:val="1"/>
      <w:marLeft w:val="0"/>
      <w:marRight w:val="0"/>
      <w:marTop w:val="0"/>
      <w:marBottom w:val="0"/>
      <w:divBdr>
        <w:top w:val="none" w:sz="0" w:space="0" w:color="auto"/>
        <w:left w:val="none" w:sz="0" w:space="0" w:color="auto"/>
        <w:bottom w:val="none" w:sz="0" w:space="0" w:color="auto"/>
        <w:right w:val="none" w:sz="0" w:space="0" w:color="auto"/>
      </w:divBdr>
    </w:div>
    <w:div w:id="522284331">
      <w:bodyDiv w:val="1"/>
      <w:marLeft w:val="0"/>
      <w:marRight w:val="0"/>
      <w:marTop w:val="0"/>
      <w:marBottom w:val="0"/>
      <w:divBdr>
        <w:top w:val="none" w:sz="0" w:space="0" w:color="auto"/>
        <w:left w:val="none" w:sz="0" w:space="0" w:color="auto"/>
        <w:bottom w:val="none" w:sz="0" w:space="0" w:color="auto"/>
        <w:right w:val="none" w:sz="0" w:space="0" w:color="auto"/>
      </w:divBdr>
    </w:div>
    <w:div w:id="591403355">
      <w:bodyDiv w:val="1"/>
      <w:marLeft w:val="0"/>
      <w:marRight w:val="0"/>
      <w:marTop w:val="0"/>
      <w:marBottom w:val="0"/>
      <w:divBdr>
        <w:top w:val="none" w:sz="0" w:space="0" w:color="auto"/>
        <w:left w:val="none" w:sz="0" w:space="0" w:color="auto"/>
        <w:bottom w:val="none" w:sz="0" w:space="0" w:color="auto"/>
        <w:right w:val="none" w:sz="0" w:space="0" w:color="auto"/>
      </w:divBdr>
    </w:div>
    <w:div w:id="600140704">
      <w:bodyDiv w:val="1"/>
      <w:marLeft w:val="0"/>
      <w:marRight w:val="0"/>
      <w:marTop w:val="0"/>
      <w:marBottom w:val="0"/>
      <w:divBdr>
        <w:top w:val="none" w:sz="0" w:space="0" w:color="auto"/>
        <w:left w:val="none" w:sz="0" w:space="0" w:color="auto"/>
        <w:bottom w:val="none" w:sz="0" w:space="0" w:color="auto"/>
        <w:right w:val="none" w:sz="0" w:space="0" w:color="auto"/>
      </w:divBdr>
    </w:div>
    <w:div w:id="677735855">
      <w:bodyDiv w:val="1"/>
      <w:marLeft w:val="0"/>
      <w:marRight w:val="0"/>
      <w:marTop w:val="0"/>
      <w:marBottom w:val="0"/>
      <w:divBdr>
        <w:top w:val="none" w:sz="0" w:space="0" w:color="auto"/>
        <w:left w:val="none" w:sz="0" w:space="0" w:color="auto"/>
        <w:bottom w:val="none" w:sz="0" w:space="0" w:color="auto"/>
        <w:right w:val="none" w:sz="0" w:space="0" w:color="auto"/>
      </w:divBdr>
    </w:div>
    <w:div w:id="887573793">
      <w:bodyDiv w:val="1"/>
      <w:marLeft w:val="0"/>
      <w:marRight w:val="0"/>
      <w:marTop w:val="0"/>
      <w:marBottom w:val="0"/>
      <w:divBdr>
        <w:top w:val="none" w:sz="0" w:space="0" w:color="auto"/>
        <w:left w:val="none" w:sz="0" w:space="0" w:color="auto"/>
        <w:bottom w:val="none" w:sz="0" w:space="0" w:color="auto"/>
        <w:right w:val="none" w:sz="0" w:space="0" w:color="auto"/>
      </w:divBdr>
    </w:div>
    <w:div w:id="917399965">
      <w:bodyDiv w:val="1"/>
      <w:marLeft w:val="0"/>
      <w:marRight w:val="0"/>
      <w:marTop w:val="0"/>
      <w:marBottom w:val="0"/>
      <w:divBdr>
        <w:top w:val="none" w:sz="0" w:space="0" w:color="auto"/>
        <w:left w:val="none" w:sz="0" w:space="0" w:color="auto"/>
        <w:bottom w:val="none" w:sz="0" w:space="0" w:color="auto"/>
        <w:right w:val="none" w:sz="0" w:space="0" w:color="auto"/>
      </w:divBdr>
    </w:div>
    <w:div w:id="981807597">
      <w:bodyDiv w:val="1"/>
      <w:marLeft w:val="0"/>
      <w:marRight w:val="0"/>
      <w:marTop w:val="0"/>
      <w:marBottom w:val="0"/>
      <w:divBdr>
        <w:top w:val="none" w:sz="0" w:space="0" w:color="auto"/>
        <w:left w:val="none" w:sz="0" w:space="0" w:color="auto"/>
        <w:bottom w:val="none" w:sz="0" w:space="0" w:color="auto"/>
        <w:right w:val="none" w:sz="0" w:space="0" w:color="auto"/>
      </w:divBdr>
    </w:div>
    <w:div w:id="983007168">
      <w:bodyDiv w:val="1"/>
      <w:marLeft w:val="0"/>
      <w:marRight w:val="0"/>
      <w:marTop w:val="0"/>
      <w:marBottom w:val="0"/>
      <w:divBdr>
        <w:top w:val="none" w:sz="0" w:space="0" w:color="auto"/>
        <w:left w:val="none" w:sz="0" w:space="0" w:color="auto"/>
        <w:bottom w:val="none" w:sz="0" w:space="0" w:color="auto"/>
        <w:right w:val="none" w:sz="0" w:space="0" w:color="auto"/>
      </w:divBdr>
    </w:div>
    <w:div w:id="1017805763">
      <w:bodyDiv w:val="1"/>
      <w:marLeft w:val="0"/>
      <w:marRight w:val="0"/>
      <w:marTop w:val="0"/>
      <w:marBottom w:val="0"/>
      <w:divBdr>
        <w:top w:val="none" w:sz="0" w:space="0" w:color="auto"/>
        <w:left w:val="none" w:sz="0" w:space="0" w:color="auto"/>
        <w:bottom w:val="none" w:sz="0" w:space="0" w:color="auto"/>
        <w:right w:val="none" w:sz="0" w:space="0" w:color="auto"/>
      </w:divBdr>
    </w:div>
    <w:div w:id="1083332388">
      <w:bodyDiv w:val="1"/>
      <w:marLeft w:val="0"/>
      <w:marRight w:val="0"/>
      <w:marTop w:val="0"/>
      <w:marBottom w:val="0"/>
      <w:divBdr>
        <w:top w:val="none" w:sz="0" w:space="0" w:color="auto"/>
        <w:left w:val="none" w:sz="0" w:space="0" w:color="auto"/>
        <w:bottom w:val="none" w:sz="0" w:space="0" w:color="auto"/>
        <w:right w:val="none" w:sz="0" w:space="0" w:color="auto"/>
      </w:divBdr>
    </w:div>
    <w:div w:id="1166672176">
      <w:bodyDiv w:val="1"/>
      <w:marLeft w:val="0"/>
      <w:marRight w:val="0"/>
      <w:marTop w:val="0"/>
      <w:marBottom w:val="0"/>
      <w:divBdr>
        <w:top w:val="none" w:sz="0" w:space="0" w:color="auto"/>
        <w:left w:val="none" w:sz="0" w:space="0" w:color="auto"/>
        <w:bottom w:val="none" w:sz="0" w:space="0" w:color="auto"/>
        <w:right w:val="none" w:sz="0" w:space="0" w:color="auto"/>
      </w:divBdr>
    </w:div>
    <w:div w:id="1177041338">
      <w:bodyDiv w:val="1"/>
      <w:marLeft w:val="0"/>
      <w:marRight w:val="0"/>
      <w:marTop w:val="0"/>
      <w:marBottom w:val="0"/>
      <w:divBdr>
        <w:top w:val="none" w:sz="0" w:space="0" w:color="auto"/>
        <w:left w:val="none" w:sz="0" w:space="0" w:color="auto"/>
        <w:bottom w:val="none" w:sz="0" w:space="0" w:color="auto"/>
        <w:right w:val="none" w:sz="0" w:space="0" w:color="auto"/>
      </w:divBdr>
    </w:div>
    <w:div w:id="1262564473">
      <w:bodyDiv w:val="1"/>
      <w:marLeft w:val="0"/>
      <w:marRight w:val="0"/>
      <w:marTop w:val="0"/>
      <w:marBottom w:val="0"/>
      <w:divBdr>
        <w:top w:val="none" w:sz="0" w:space="0" w:color="auto"/>
        <w:left w:val="none" w:sz="0" w:space="0" w:color="auto"/>
        <w:bottom w:val="none" w:sz="0" w:space="0" w:color="auto"/>
        <w:right w:val="none" w:sz="0" w:space="0" w:color="auto"/>
      </w:divBdr>
    </w:div>
    <w:div w:id="1352417830">
      <w:bodyDiv w:val="1"/>
      <w:marLeft w:val="0"/>
      <w:marRight w:val="0"/>
      <w:marTop w:val="0"/>
      <w:marBottom w:val="0"/>
      <w:divBdr>
        <w:top w:val="none" w:sz="0" w:space="0" w:color="auto"/>
        <w:left w:val="none" w:sz="0" w:space="0" w:color="auto"/>
        <w:bottom w:val="none" w:sz="0" w:space="0" w:color="auto"/>
        <w:right w:val="none" w:sz="0" w:space="0" w:color="auto"/>
      </w:divBdr>
    </w:div>
    <w:div w:id="1470710558">
      <w:bodyDiv w:val="1"/>
      <w:marLeft w:val="0"/>
      <w:marRight w:val="0"/>
      <w:marTop w:val="0"/>
      <w:marBottom w:val="0"/>
      <w:divBdr>
        <w:top w:val="none" w:sz="0" w:space="0" w:color="auto"/>
        <w:left w:val="none" w:sz="0" w:space="0" w:color="auto"/>
        <w:bottom w:val="none" w:sz="0" w:space="0" w:color="auto"/>
        <w:right w:val="none" w:sz="0" w:space="0" w:color="auto"/>
      </w:divBdr>
    </w:div>
    <w:div w:id="1494835044">
      <w:bodyDiv w:val="1"/>
      <w:marLeft w:val="0"/>
      <w:marRight w:val="0"/>
      <w:marTop w:val="0"/>
      <w:marBottom w:val="0"/>
      <w:divBdr>
        <w:top w:val="none" w:sz="0" w:space="0" w:color="auto"/>
        <w:left w:val="none" w:sz="0" w:space="0" w:color="auto"/>
        <w:bottom w:val="none" w:sz="0" w:space="0" w:color="auto"/>
        <w:right w:val="none" w:sz="0" w:space="0" w:color="auto"/>
      </w:divBdr>
    </w:div>
    <w:div w:id="1522743853">
      <w:bodyDiv w:val="1"/>
      <w:marLeft w:val="0"/>
      <w:marRight w:val="0"/>
      <w:marTop w:val="0"/>
      <w:marBottom w:val="0"/>
      <w:divBdr>
        <w:top w:val="none" w:sz="0" w:space="0" w:color="auto"/>
        <w:left w:val="none" w:sz="0" w:space="0" w:color="auto"/>
        <w:bottom w:val="none" w:sz="0" w:space="0" w:color="auto"/>
        <w:right w:val="none" w:sz="0" w:space="0" w:color="auto"/>
      </w:divBdr>
    </w:div>
    <w:div w:id="1530485019">
      <w:bodyDiv w:val="1"/>
      <w:marLeft w:val="0"/>
      <w:marRight w:val="0"/>
      <w:marTop w:val="0"/>
      <w:marBottom w:val="0"/>
      <w:divBdr>
        <w:top w:val="none" w:sz="0" w:space="0" w:color="auto"/>
        <w:left w:val="none" w:sz="0" w:space="0" w:color="auto"/>
        <w:bottom w:val="none" w:sz="0" w:space="0" w:color="auto"/>
        <w:right w:val="none" w:sz="0" w:space="0" w:color="auto"/>
      </w:divBdr>
    </w:div>
    <w:div w:id="1588541596">
      <w:bodyDiv w:val="1"/>
      <w:marLeft w:val="0"/>
      <w:marRight w:val="0"/>
      <w:marTop w:val="0"/>
      <w:marBottom w:val="0"/>
      <w:divBdr>
        <w:top w:val="none" w:sz="0" w:space="0" w:color="auto"/>
        <w:left w:val="none" w:sz="0" w:space="0" w:color="auto"/>
        <w:bottom w:val="none" w:sz="0" w:space="0" w:color="auto"/>
        <w:right w:val="none" w:sz="0" w:space="0" w:color="auto"/>
      </w:divBdr>
    </w:div>
    <w:div w:id="1771466017">
      <w:bodyDiv w:val="1"/>
      <w:marLeft w:val="0"/>
      <w:marRight w:val="0"/>
      <w:marTop w:val="0"/>
      <w:marBottom w:val="0"/>
      <w:divBdr>
        <w:top w:val="none" w:sz="0" w:space="0" w:color="auto"/>
        <w:left w:val="none" w:sz="0" w:space="0" w:color="auto"/>
        <w:bottom w:val="none" w:sz="0" w:space="0" w:color="auto"/>
        <w:right w:val="none" w:sz="0" w:space="0" w:color="auto"/>
      </w:divBdr>
    </w:div>
    <w:div w:id="1890259985">
      <w:bodyDiv w:val="1"/>
      <w:marLeft w:val="0"/>
      <w:marRight w:val="0"/>
      <w:marTop w:val="0"/>
      <w:marBottom w:val="0"/>
      <w:divBdr>
        <w:top w:val="none" w:sz="0" w:space="0" w:color="auto"/>
        <w:left w:val="none" w:sz="0" w:space="0" w:color="auto"/>
        <w:bottom w:val="none" w:sz="0" w:space="0" w:color="auto"/>
        <w:right w:val="none" w:sz="0" w:space="0" w:color="auto"/>
      </w:divBdr>
    </w:div>
    <w:div w:id="1990555817">
      <w:bodyDiv w:val="1"/>
      <w:marLeft w:val="0"/>
      <w:marRight w:val="0"/>
      <w:marTop w:val="0"/>
      <w:marBottom w:val="0"/>
      <w:divBdr>
        <w:top w:val="none" w:sz="0" w:space="0" w:color="auto"/>
        <w:left w:val="none" w:sz="0" w:space="0" w:color="auto"/>
        <w:bottom w:val="none" w:sz="0" w:space="0" w:color="auto"/>
        <w:right w:val="none" w:sz="0" w:space="0" w:color="auto"/>
      </w:divBdr>
    </w:div>
    <w:div w:id="2017342596">
      <w:bodyDiv w:val="1"/>
      <w:marLeft w:val="0"/>
      <w:marRight w:val="0"/>
      <w:marTop w:val="0"/>
      <w:marBottom w:val="0"/>
      <w:divBdr>
        <w:top w:val="none" w:sz="0" w:space="0" w:color="auto"/>
        <w:left w:val="none" w:sz="0" w:space="0" w:color="auto"/>
        <w:bottom w:val="none" w:sz="0" w:space="0" w:color="auto"/>
        <w:right w:val="none" w:sz="0" w:space="0" w:color="auto"/>
      </w:divBdr>
    </w:div>
    <w:div w:id="20548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aci.eu/en/announcements/national-call-for-supporting-anti-sorruption-advocacy-and-analytics-regarding-eu-acce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475-2025-%D1%80" TargetMode="External"/><Relationship Id="rId12" Type="http://schemas.openxmlformats.org/officeDocument/2006/relationships/hyperlink" Target="https://amg.um.dk/bilateral-cooperation/guidelines-for-programmes-projects-country-strategic-frameworks-and-hard-earmarked-multilat-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uaci@um.dk" TargetMode="External"/><Relationship Id="rId5" Type="http://schemas.openxmlformats.org/officeDocument/2006/relationships/footnotes" Target="footnotes.xml"/><Relationship Id="rId10" Type="http://schemas.openxmlformats.org/officeDocument/2006/relationships/hyperlink" Target="mailto:euaci@um.dk" TargetMode="External"/><Relationship Id="rId4" Type="http://schemas.openxmlformats.org/officeDocument/2006/relationships/webSettings" Target="webSettings.xml"/><Relationship Id="rId9" Type="http://schemas.openxmlformats.org/officeDocument/2006/relationships/hyperlink" Target="https://enlargement.ec.europa.eu/ukraine-report-2025_e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mg.um.dk/bilateral-cooperation/financial-managemen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2485</Words>
  <Characters>14171</Characters>
  <Application>Microsoft Office Word</Application>
  <DocSecurity>0</DocSecurity>
  <Lines>118</Lines>
  <Paragraphs>33</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Udenrigsministeriet</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Golota</dc:creator>
  <cp:keywords/>
  <dc:description/>
  <cp:lastModifiedBy>Sofiia Golota</cp:lastModifiedBy>
  <cp:revision>3</cp:revision>
  <dcterms:created xsi:type="dcterms:W3CDTF">2026-04-23T13:02:00Z</dcterms:created>
  <dcterms:modified xsi:type="dcterms:W3CDTF">2026-04-24T06:40:00Z</dcterms:modified>
</cp:coreProperties>
</file>