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03B3" w14:textId="77777777" w:rsidR="007F6754" w:rsidRPr="00122B8B" w:rsidRDefault="007F6754" w:rsidP="0068156E">
      <w:pPr>
        <w:spacing w:before="280" w:after="280" w:line="240" w:lineRule="auto"/>
        <w:jc w:val="center"/>
        <w:rPr>
          <w:rFonts w:ascii="Times New Roman" w:hAnsi="Times New Roman" w:cs="Times New Roman"/>
        </w:rPr>
      </w:pPr>
      <w:r w:rsidRPr="00122B8B">
        <w:rPr>
          <w:rStyle w:val="Strong"/>
          <w:rFonts w:ascii="Times New Roman" w:hAnsi="Times New Roman" w:cs="Times New Roman"/>
        </w:rPr>
        <w:t>Investigative Media Grant 2026</w:t>
      </w:r>
    </w:p>
    <w:p w14:paraId="7D6EAE5C" w14:textId="77777777" w:rsidR="007F6754" w:rsidRPr="00122B8B" w:rsidRDefault="007F6754" w:rsidP="00963B89">
      <w:pPr>
        <w:spacing w:before="280" w:after="280" w:line="240" w:lineRule="auto"/>
        <w:jc w:val="both"/>
        <w:rPr>
          <w:rFonts w:ascii="Times New Roman" w:eastAsia="Times New Roman" w:hAnsi="Times New Roman" w:cs="Times New Roman"/>
        </w:rPr>
      </w:pPr>
      <w:r w:rsidRPr="00122B8B">
        <w:rPr>
          <w:rFonts w:ascii="Times New Roman" w:eastAsia="Times New Roman" w:hAnsi="Times New Roman" w:cs="Times New Roman"/>
        </w:rPr>
        <w:t>The EUACI is a collaborative initiative funded by the European Union and the Government of Denmark, with the aim of supporting Ukraine in its efforts to reduce corruption at both national and local levels. The new phase, launched in January 2024, focuses on key strategic objectives: reducing corruption in Ukraine, advancing anticorruption reforms, and implementing reconstruction efforts in war-affected areas with a strong emphasis on transparency, accountability, and integrity.</w:t>
      </w:r>
    </w:p>
    <w:p w14:paraId="4B0C74E1" w14:textId="29F2BCC4" w:rsidR="007F6754" w:rsidRPr="00122B8B" w:rsidRDefault="007F6754" w:rsidP="00963B89">
      <w:pPr>
        <w:spacing w:before="280" w:after="28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b/>
          <w:lang w:val="en-GB"/>
        </w:rPr>
        <w:t>The EUACI operates across four intervention areas:</w:t>
      </w:r>
    </w:p>
    <w:p w14:paraId="37ECBE6B" w14:textId="77777777" w:rsidR="007F6754" w:rsidRPr="00122B8B" w:rsidRDefault="007F6754" w:rsidP="00963B89">
      <w:pPr>
        <w:numPr>
          <w:ilvl w:val="0"/>
          <w:numId w:val="43"/>
        </w:numPr>
        <w:spacing w:before="280" w:after="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Support to independent state institutions fighting and preventing corruption</w:t>
      </w:r>
    </w:p>
    <w:p w14:paraId="1051F12E" w14:textId="77777777" w:rsidR="007F6754" w:rsidRPr="00122B8B" w:rsidRDefault="007F6754" w:rsidP="00963B89">
      <w:pPr>
        <w:numPr>
          <w:ilvl w:val="0"/>
          <w:numId w:val="43"/>
        </w:numPr>
        <w:spacing w:after="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Transparency and accountability of the reconstruction process</w:t>
      </w:r>
    </w:p>
    <w:p w14:paraId="329E312D" w14:textId="77777777" w:rsidR="007F6754" w:rsidRPr="00122B8B" w:rsidRDefault="007F6754" w:rsidP="00963B89">
      <w:pPr>
        <w:numPr>
          <w:ilvl w:val="0"/>
          <w:numId w:val="43"/>
        </w:numPr>
        <w:spacing w:after="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Support for cities in war-affected areas to enhance integrity in the reconstruction process</w:t>
      </w:r>
    </w:p>
    <w:p w14:paraId="79D15F6A" w14:textId="77777777" w:rsidR="007F6754" w:rsidRPr="00122B8B" w:rsidRDefault="007F6754" w:rsidP="00963B89">
      <w:pPr>
        <w:numPr>
          <w:ilvl w:val="0"/>
          <w:numId w:val="43"/>
        </w:numPr>
        <w:spacing w:after="280" w:line="240" w:lineRule="auto"/>
        <w:jc w:val="both"/>
        <w:rPr>
          <w:rFonts w:ascii="Times New Roman" w:eastAsia="Times New Roman" w:hAnsi="Times New Roman" w:cs="Times New Roman"/>
          <w:lang w:val="en-GB"/>
        </w:rPr>
      </w:pPr>
      <w:r w:rsidRPr="00122B8B">
        <w:rPr>
          <w:rFonts w:ascii="Times New Roman" w:eastAsia="Times New Roman" w:hAnsi="Times New Roman" w:cs="Times New Roman"/>
          <w:lang w:val="en-GB"/>
        </w:rPr>
        <w:t>Civil society and media engagement in preventing and fighting corruption</w:t>
      </w:r>
    </w:p>
    <w:p w14:paraId="70465E11" w14:textId="4D359400" w:rsidR="007F6754" w:rsidRPr="00122B8B" w:rsidRDefault="007F6754" w:rsidP="00963B89">
      <w:pPr>
        <w:pStyle w:val="NormalWeb"/>
        <w:jc w:val="both"/>
        <w:rPr>
          <w:sz w:val="22"/>
          <w:szCs w:val="22"/>
        </w:rPr>
      </w:pPr>
      <w:r w:rsidRPr="00122B8B">
        <w:rPr>
          <w:rStyle w:val="Strong"/>
          <w:sz w:val="22"/>
          <w:szCs w:val="22"/>
        </w:rPr>
        <w:t>Investigative Media Grant 2026</w:t>
      </w:r>
      <w:r w:rsidRPr="00122B8B">
        <w:rPr>
          <w:sz w:val="22"/>
          <w:szCs w:val="22"/>
          <w:lang w:val="en-US"/>
        </w:rPr>
        <w:t xml:space="preserve"> </w:t>
      </w:r>
      <w:r w:rsidRPr="00122B8B">
        <w:rPr>
          <w:sz w:val="22"/>
          <w:szCs w:val="22"/>
        </w:rPr>
        <w:t xml:space="preserve">is announced under Intervention Area 4: </w:t>
      </w:r>
      <w:r w:rsidRPr="00122B8B">
        <w:rPr>
          <w:rStyle w:val="Emphasis"/>
          <w:sz w:val="22"/>
          <w:szCs w:val="22"/>
        </w:rPr>
        <w:t>Civil society and media engagement in preventing and fighting corruption</w:t>
      </w:r>
      <w:r w:rsidRPr="00122B8B">
        <w:rPr>
          <w:sz w:val="22"/>
          <w:szCs w:val="22"/>
        </w:rPr>
        <w:t>.</w:t>
      </w:r>
    </w:p>
    <w:p w14:paraId="5693960E"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Background</w:t>
      </w:r>
    </w:p>
    <w:p w14:paraId="45654054" w14:textId="23B35272" w:rsidR="007F6754" w:rsidRPr="00122B8B" w:rsidRDefault="007F6754" w:rsidP="00963B89">
      <w:pPr>
        <w:pStyle w:val="NormalWeb"/>
        <w:jc w:val="both"/>
        <w:rPr>
          <w:sz w:val="22"/>
          <w:szCs w:val="22"/>
        </w:rPr>
      </w:pPr>
      <w:r w:rsidRPr="00122B8B">
        <w:rPr>
          <w:sz w:val="22"/>
          <w:szCs w:val="22"/>
        </w:rPr>
        <w:t xml:space="preserve">Investigative media play a </w:t>
      </w:r>
      <w:r w:rsidRPr="00122B8B">
        <w:rPr>
          <w:rStyle w:val="Strong"/>
          <w:b w:val="0"/>
          <w:bCs w:val="0"/>
          <w:sz w:val="22"/>
          <w:szCs w:val="22"/>
        </w:rPr>
        <w:t>crucial role in Ukraine</w:t>
      </w:r>
      <w:r w:rsidRPr="00122B8B">
        <w:rPr>
          <w:sz w:val="22"/>
          <w:szCs w:val="22"/>
        </w:rPr>
        <w:t xml:space="preserve"> by uncovering corruption and promoting transparency and integrity. </w:t>
      </w:r>
      <w:r w:rsidRPr="00122B8B">
        <w:rPr>
          <w:rStyle w:val="Strong"/>
          <w:b w:val="0"/>
          <w:bCs w:val="0"/>
          <w:sz w:val="22"/>
          <w:szCs w:val="22"/>
        </w:rPr>
        <w:t>Strong and capable investigative journalism is essential</w:t>
      </w:r>
      <w:r w:rsidRPr="00122B8B">
        <w:rPr>
          <w:sz w:val="22"/>
          <w:szCs w:val="22"/>
        </w:rPr>
        <w:t xml:space="preserve"> for strengthening democratic governance, fostering public trust, and empowering citizens to demand accountability. Since 2017, EUACI has supported the work of investigative media, providing assistance to some of the largest national and regional investigative teams.</w:t>
      </w:r>
      <w:r w:rsidR="00BC4A4D" w:rsidRPr="00122B8B">
        <w:rPr>
          <w:sz w:val="22"/>
          <w:szCs w:val="22"/>
        </w:rPr>
        <w:t xml:space="preserve"> </w:t>
      </w:r>
      <w:r w:rsidRPr="00122B8B">
        <w:rPr>
          <w:sz w:val="22"/>
          <w:szCs w:val="22"/>
        </w:rPr>
        <w:t>The primary objective of this grant is to strengthen investigative media in Ukraine and enhance their capacity to expose corruption and promote accountability.</w:t>
      </w:r>
    </w:p>
    <w:p w14:paraId="79A77888" w14:textId="77777777" w:rsidR="007F6754" w:rsidRPr="00122B8B" w:rsidRDefault="007F6754" w:rsidP="00963B89">
      <w:pPr>
        <w:spacing w:after="0"/>
        <w:jc w:val="both"/>
        <w:rPr>
          <w:rFonts w:ascii="Times New Roman" w:hAnsi="Times New Roman" w:cs="Times New Roman"/>
          <w:lang w:val="en-GB"/>
        </w:rPr>
      </w:pPr>
    </w:p>
    <w:p w14:paraId="28C7E88E"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 xml:space="preserve">Objectives and priority issues </w:t>
      </w:r>
    </w:p>
    <w:p w14:paraId="47DF05AE" w14:textId="77777777" w:rsidR="007F6754" w:rsidRPr="00122B8B" w:rsidRDefault="007F6754" w:rsidP="00963B89">
      <w:pPr>
        <w:spacing w:after="0"/>
        <w:jc w:val="both"/>
        <w:rPr>
          <w:rFonts w:ascii="Times New Roman" w:hAnsi="Times New Roman" w:cs="Times New Roman"/>
        </w:rPr>
      </w:pPr>
    </w:p>
    <w:p w14:paraId="41E7E31C" w14:textId="46AFF094" w:rsidR="00BC4A4D" w:rsidRPr="00122B8B" w:rsidRDefault="007F6754" w:rsidP="00963B89">
      <w:pPr>
        <w:spacing w:after="0"/>
        <w:jc w:val="both"/>
        <w:rPr>
          <w:rFonts w:ascii="Times New Roman" w:hAnsi="Times New Roman" w:cs="Times New Roman"/>
          <w:lang w:val="en-US"/>
        </w:rPr>
      </w:pPr>
      <w:r w:rsidRPr="00122B8B">
        <w:rPr>
          <w:rFonts w:ascii="Times New Roman" w:hAnsi="Times New Roman" w:cs="Times New Roman"/>
        </w:rPr>
        <w:t xml:space="preserve">The goal of the </w:t>
      </w:r>
      <w:r w:rsidRPr="00122B8B">
        <w:rPr>
          <w:rStyle w:val="Strong"/>
          <w:rFonts w:ascii="Times New Roman" w:hAnsi="Times New Roman" w:cs="Times New Roman"/>
        </w:rPr>
        <w:t>Investigative Media Grant 2026</w:t>
      </w:r>
      <w:r w:rsidRPr="00122B8B">
        <w:rPr>
          <w:rFonts w:ascii="Times New Roman" w:hAnsi="Times New Roman" w:cs="Times New Roman"/>
        </w:rPr>
        <w:t xml:space="preserve"> is to strengthen investigative journalism in Ukraine </w:t>
      </w:r>
      <w:r w:rsidR="00BC4A4D" w:rsidRPr="00122B8B">
        <w:rPr>
          <w:rFonts w:ascii="Times New Roman" w:hAnsi="Times New Roman" w:cs="Times New Roman"/>
        </w:rPr>
        <w:t>journalists to conduct in-depth corruption investigations</w:t>
      </w:r>
      <w:r w:rsidR="00BC4A4D" w:rsidRPr="00122B8B">
        <w:rPr>
          <w:rFonts w:ascii="Times New Roman" w:hAnsi="Times New Roman" w:cs="Times New Roman"/>
          <w:lang w:val="en-US"/>
        </w:rPr>
        <w:t>.</w:t>
      </w:r>
      <w:r w:rsidR="003746D2" w:rsidRPr="00122B8B">
        <w:rPr>
          <w:rFonts w:ascii="Times New Roman" w:hAnsi="Times New Roman" w:cs="Times New Roman"/>
          <w:lang w:val="en-US"/>
        </w:rPr>
        <w:t xml:space="preserve"> </w:t>
      </w:r>
    </w:p>
    <w:p w14:paraId="4583E936" w14:textId="77777777" w:rsidR="00BC4A4D" w:rsidRPr="00122B8B" w:rsidRDefault="00BC4A4D" w:rsidP="00963B89">
      <w:pPr>
        <w:spacing w:after="0"/>
        <w:jc w:val="both"/>
        <w:rPr>
          <w:rFonts w:ascii="Times New Roman" w:hAnsi="Times New Roman" w:cs="Times New Roman"/>
        </w:rPr>
      </w:pPr>
    </w:p>
    <w:p w14:paraId="16CFDD7D" w14:textId="78007B37" w:rsidR="007F6754" w:rsidRPr="00122B8B" w:rsidRDefault="007F6754" w:rsidP="00963B89">
      <w:pPr>
        <w:spacing w:after="0"/>
        <w:jc w:val="both"/>
        <w:rPr>
          <w:rFonts w:ascii="Times New Roman" w:hAnsi="Times New Roman" w:cs="Times New Roman"/>
        </w:rPr>
      </w:pPr>
      <w:r w:rsidRPr="00122B8B">
        <w:rPr>
          <w:rStyle w:val="Strong"/>
          <w:rFonts w:ascii="Times New Roman" w:hAnsi="Times New Roman" w:cs="Times New Roman"/>
        </w:rPr>
        <w:t>Key objectives of the grant competition include:</w:t>
      </w:r>
    </w:p>
    <w:p w14:paraId="3F70C479" w14:textId="7E67DDDC" w:rsidR="007F6754" w:rsidRPr="00122B8B" w:rsidRDefault="007F6754" w:rsidP="00963B89">
      <w:pPr>
        <w:pStyle w:val="NormalWeb"/>
        <w:numPr>
          <w:ilvl w:val="0"/>
          <w:numId w:val="26"/>
        </w:numPr>
        <w:jc w:val="both"/>
        <w:rPr>
          <w:sz w:val="22"/>
          <w:szCs w:val="22"/>
        </w:rPr>
      </w:pPr>
      <w:r w:rsidRPr="00122B8B">
        <w:rPr>
          <w:sz w:val="22"/>
          <w:szCs w:val="22"/>
        </w:rPr>
        <w:t>Supporting high-quality, evidence-based anti-corruption investigations at national level.</w:t>
      </w:r>
    </w:p>
    <w:p w14:paraId="642E3B68" w14:textId="77777777" w:rsidR="007F6754" w:rsidRPr="00122B8B" w:rsidRDefault="007F6754" w:rsidP="00963B89">
      <w:pPr>
        <w:pStyle w:val="NormalWeb"/>
        <w:numPr>
          <w:ilvl w:val="0"/>
          <w:numId w:val="26"/>
        </w:numPr>
        <w:jc w:val="both"/>
        <w:rPr>
          <w:sz w:val="22"/>
          <w:szCs w:val="22"/>
        </w:rPr>
      </w:pPr>
      <w:r w:rsidRPr="00122B8B">
        <w:rPr>
          <w:sz w:val="22"/>
          <w:szCs w:val="22"/>
        </w:rPr>
        <w:t>Enhancing the capacity and overall performance of investigative media organizations and journalists in Ukraine.</w:t>
      </w:r>
    </w:p>
    <w:p w14:paraId="5CAA02BC" w14:textId="77BF016C" w:rsidR="007F6754" w:rsidRPr="00122B8B" w:rsidRDefault="007F6754" w:rsidP="00963B89">
      <w:pPr>
        <w:pStyle w:val="NormalWeb"/>
        <w:numPr>
          <w:ilvl w:val="0"/>
          <w:numId w:val="26"/>
        </w:numPr>
        <w:jc w:val="both"/>
        <w:rPr>
          <w:sz w:val="22"/>
          <w:szCs w:val="22"/>
        </w:rPr>
      </w:pPr>
      <w:r w:rsidRPr="00122B8B">
        <w:rPr>
          <w:sz w:val="22"/>
          <w:szCs w:val="22"/>
        </w:rPr>
        <w:t>Raising public awareness and fostering a culture of integrity and accountability among citizens</w:t>
      </w:r>
      <w:r w:rsidR="000A4211" w:rsidRPr="00122B8B">
        <w:rPr>
          <w:sz w:val="22"/>
          <w:szCs w:val="22"/>
        </w:rPr>
        <w:t>.</w:t>
      </w:r>
    </w:p>
    <w:p w14:paraId="475D74A5" w14:textId="006BA78F" w:rsidR="0068156E" w:rsidRPr="00122B8B" w:rsidRDefault="007F6754" w:rsidP="00963B89">
      <w:pPr>
        <w:pStyle w:val="NormalWeb"/>
        <w:jc w:val="both"/>
        <w:rPr>
          <w:rStyle w:val="Strong"/>
          <w:sz w:val="22"/>
          <w:szCs w:val="22"/>
        </w:rPr>
      </w:pPr>
      <w:r w:rsidRPr="00122B8B">
        <w:rPr>
          <w:rStyle w:val="Strong"/>
          <w:sz w:val="22"/>
          <w:szCs w:val="22"/>
        </w:rPr>
        <w:t>Geographic Scope</w:t>
      </w:r>
      <w:r w:rsidR="00384E08" w:rsidRPr="00122B8B">
        <w:rPr>
          <w:rStyle w:val="Strong"/>
          <w:sz w:val="22"/>
          <w:szCs w:val="22"/>
        </w:rPr>
        <w:t>:</w:t>
      </w:r>
    </w:p>
    <w:p w14:paraId="199D0BEB" w14:textId="77777777" w:rsidR="006E6D6E" w:rsidRPr="00122B8B" w:rsidRDefault="006E6D6E" w:rsidP="00963B89">
      <w:pPr>
        <w:pStyle w:val="NormalWeb"/>
        <w:jc w:val="both"/>
        <w:rPr>
          <w:sz w:val="22"/>
          <w:szCs w:val="22"/>
        </w:rPr>
      </w:pPr>
      <w:r w:rsidRPr="00122B8B">
        <w:rPr>
          <w:sz w:val="22"/>
          <w:szCs w:val="22"/>
        </w:rPr>
        <w:t>Applications from regional investigative media outlets are welcome; however, priority will be given during the evaluation process to investigative media operating at the national level.</w:t>
      </w:r>
    </w:p>
    <w:p w14:paraId="31E55523" w14:textId="5A737003" w:rsidR="007F6754" w:rsidRPr="00122B8B" w:rsidRDefault="007F6754" w:rsidP="00963B89">
      <w:pPr>
        <w:pStyle w:val="NormalWeb"/>
        <w:jc w:val="both"/>
        <w:rPr>
          <w:sz w:val="22"/>
          <w:szCs w:val="22"/>
        </w:rPr>
      </w:pPr>
      <w:r w:rsidRPr="00122B8B">
        <w:rPr>
          <w:rStyle w:val="Strong"/>
          <w:sz w:val="22"/>
          <w:szCs w:val="22"/>
        </w:rPr>
        <w:t>Budget</w:t>
      </w:r>
    </w:p>
    <w:p w14:paraId="45FFE2C7" w14:textId="39CE0828" w:rsidR="007F6754" w:rsidRPr="00122B8B" w:rsidRDefault="007F6754" w:rsidP="00963B89">
      <w:pPr>
        <w:pStyle w:val="NormalWeb"/>
        <w:numPr>
          <w:ilvl w:val="0"/>
          <w:numId w:val="39"/>
        </w:numPr>
        <w:jc w:val="both"/>
        <w:rPr>
          <w:sz w:val="22"/>
          <w:szCs w:val="22"/>
        </w:rPr>
      </w:pPr>
      <w:r w:rsidRPr="00122B8B">
        <w:rPr>
          <w:sz w:val="22"/>
          <w:szCs w:val="22"/>
        </w:rPr>
        <w:t>Total competition budget: EUR 200,000</w:t>
      </w:r>
    </w:p>
    <w:p w14:paraId="04ABB594" w14:textId="77777777" w:rsidR="007F6754" w:rsidRPr="00122B8B" w:rsidRDefault="007F6754" w:rsidP="00963B89">
      <w:pPr>
        <w:pStyle w:val="NormalWeb"/>
        <w:numPr>
          <w:ilvl w:val="0"/>
          <w:numId w:val="39"/>
        </w:numPr>
        <w:jc w:val="both"/>
        <w:rPr>
          <w:sz w:val="22"/>
          <w:szCs w:val="22"/>
        </w:rPr>
      </w:pPr>
      <w:r w:rsidRPr="00122B8B">
        <w:rPr>
          <w:sz w:val="22"/>
          <w:szCs w:val="22"/>
        </w:rPr>
        <w:t>Expected number of grants: 2-3</w:t>
      </w:r>
    </w:p>
    <w:p w14:paraId="4A61949B" w14:textId="5FE2F6F9" w:rsidR="007F6754" w:rsidRPr="00122B8B" w:rsidRDefault="007F6754" w:rsidP="00963B89">
      <w:pPr>
        <w:pStyle w:val="NormalWeb"/>
        <w:numPr>
          <w:ilvl w:val="0"/>
          <w:numId w:val="39"/>
        </w:numPr>
        <w:jc w:val="both"/>
        <w:rPr>
          <w:sz w:val="22"/>
          <w:szCs w:val="22"/>
        </w:rPr>
      </w:pPr>
      <w:r w:rsidRPr="00122B8B">
        <w:rPr>
          <w:sz w:val="22"/>
          <w:szCs w:val="22"/>
        </w:rPr>
        <w:t xml:space="preserve">Optimum grant size: up to EUR </w:t>
      </w:r>
      <w:r w:rsidR="00606F4E" w:rsidRPr="00122B8B">
        <w:rPr>
          <w:sz w:val="22"/>
          <w:szCs w:val="22"/>
        </w:rPr>
        <w:t>8</w:t>
      </w:r>
      <w:r w:rsidRPr="00122B8B">
        <w:rPr>
          <w:sz w:val="22"/>
          <w:szCs w:val="22"/>
        </w:rPr>
        <w:t>0,000</w:t>
      </w:r>
    </w:p>
    <w:p w14:paraId="1C8ECDBC" w14:textId="1F40D690" w:rsidR="007F6754" w:rsidRPr="00122B8B" w:rsidRDefault="007F6754" w:rsidP="00963B89">
      <w:pPr>
        <w:pStyle w:val="NormalWeb"/>
        <w:numPr>
          <w:ilvl w:val="0"/>
          <w:numId w:val="39"/>
        </w:numPr>
        <w:jc w:val="both"/>
        <w:rPr>
          <w:sz w:val="22"/>
          <w:szCs w:val="22"/>
        </w:rPr>
      </w:pPr>
      <w:r w:rsidRPr="00122B8B">
        <w:rPr>
          <w:sz w:val="22"/>
          <w:szCs w:val="22"/>
        </w:rPr>
        <w:lastRenderedPageBreak/>
        <w:t>Maximum grant size: EUR 100,000</w:t>
      </w:r>
    </w:p>
    <w:p w14:paraId="108AD64B" w14:textId="2D49E8F2" w:rsidR="007F6754" w:rsidRPr="00122B8B" w:rsidRDefault="007F6754" w:rsidP="00963B89">
      <w:pPr>
        <w:pStyle w:val="NormalWeb"/>
        <w:numPr>
          <w:ilvl w:val="0"/>
          <w:numId w:val="39"/>
        </w:numPr>
        <w:jc w:val="both"/>
        <w:rPr>
          <w:sz w:val="22"/>
          <w:szCs w:val="22"/>
        </w:rPr>
      </w:pPr>
      <w:r w:rsidRPr="00122B8B">
        <w:rPr>
          <w:sz w:val="22"/>
          <w:szCs w:val="22"/>
        </w:rPr>
        <w:t xml:space="preserve">Implementation period: The project duration is a maximum of </w:t>
      </w:r>
      <w:r w:rsidR="00384E08" w:rsidRPr="00122B8B">
        <w:rPr>
          <w:sz w:val="22"/>
          <w:szCs w:val="22"/>
        </w:rPr>
        <w:t>9</w:t>
      </w:r>
      <w:r w:rsidRPr="00122B8B">
        <w:rPr>
          <w:sz w:val="22"/>
          <w:szCs w:val="22"/>
        </w:rPr>
        <w:t xml:space="preserve"> months, depending on the planned activities, and all projects must be completed by 31 December 2026.</w:t>
      </w:r>
    </w:p>
    <w:p w14:paraId="59AED1E8" w14:textId="77777777" w:rsidR="007F6754" w:rsidRPr="00122B8B" w:rsidRDefault="007F6754" w:rsidP="00963B89">
      <w:pPr>
        <w:spacing w:after="0"/>
        <w:jc w:val="both"/>
        <w:rPr>
          <w:rFonts w:ascii="Times New Roman" w:hAnsi="Times New Roman" w:cs="Times New Roman"/>
          <w:b/>
          <w:lang w:val="en-GB"/>
        </w:rPr>
      </w:pPr>
    </w:p>
    <w:p w14:paraId="22B79829"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Eligibility criteria</w:t>
      </w:r>
    </w:p>
    <w:p w14:paraId="78551F6E" w14:textId="77777777" w:rsidR="007F6754" w:rsidRPr="00122B8B" w:rsidRDefault="007F6754" w:rsidP="00963B89">
      <w:pPr>
        <w:pStyle w:val="NormalWeb"/>
        <w:jc w:val="both"/>
        <w:rPr>
          <w:sz w:val="22"/>
          <w:szCs w:val="22"/>
        </w:rPr>
      </w:pPr>
      <w:r w:rsidRPr="00122B8B">
        <w:rPr>
          <w:sz w:val="22"/>
          <w:szCs w:val="22"/>
        </w:rPr>
        <w:t>Applicants must:</w:t>
      </w:r>
    </w:p>
    <w:p w14:paraId="4C6E7CDE" w14:textId="2FD4ACAB"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rPr>
      </w:pPr>
      <w:r w:rsidRPr="00122B8B">
        <w:rPr>
          <w:rFonts w:ascii="Times New Roman" w:eastAsia="Times New Roman" w:hAnsi="Times New Roman" w:cs="Times New Roman"/>
          <w:color w:val="0E101A"/>
          <w:lang w:val="en-US"/>
        </w:rPr>
        <w:t>B</w:t>
      </w:r>
      <w:r w:rsidRPr="00122B8B">
        <w:rPr>
          <w:rFonts w:ascii="Times New Roman" w:eastAsia="Times New Roman" w:hAnsi="Times New Roman" w:cs="Times New Roman"/>
          <w:color w:val="0E101A"/>
        </w:rPr>
        <w:t>e a legal entity officially registered according to Ukrainian legislation</w:t>
      </w:r>
    </w:p>
    <w:p w14:paraId="45B92D4C" w14:textId="0F83B94C"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rPr>
      </w:pPr>
      <w:r w:rsidRPr="00122B8B">
        <w:rPr>
          <w:rFonts w:ascii="Times New Roman" w:eastAsia="Times New Roman" w:hAnsi="Times New Roman" w:cs="Times New Roman"/>
          <w:color w:val="0E101A"/>
          <w:lang w:val="en-US"/>
        </w:rPr>
        <w:t>B</w:t>
      </w:r>
      <w:r w:rsidRPr="00122B8B">
        <w:rPr>
          <w:rFonts w:ascii="Times New Roman" w:eastAsia="Times New Roman" w:hAnsi="Times New Roman" w:cs="Times New Roman"/>
          <w:color w:val="0E101A"/>
        </w:rPr>
        <w:t>e a nonprofit civil society organization with codes 0032, 0034, 0036, 0038, 0039.</w:t>
      </w:r>
    </w:p>
    <w:p w14:paraId="6C0B9A44" w14:textId="7CB448B8"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rPr>
      </w:pPr>
      <w:r w:rsidRPr="00122B8B">
        <w:rPr>
          <w:rFonts w:ascii="Times New Roman" w:eastAsia="Times New Roman" w:hAnsi="Times New Roman" w:cs="Times New Roman"/>
          <w:color w:val="0E101A"/>
          <w:lang w:val="en-US"/>
        </w:rPr>
        <w:t>H</w:t>
      </w:r>
      <w:r w:rsidRPr="00122B8B">
        <w:rPr>
          <w:rFonts w:ascii="Times New Roman" w:eastAsia="Times New Roman" w:hAnsi="Times New Roman" w:cs="Times New Roman"/>
          <w:color w:val="0E101A"/>
        </w:rPr>
        <w:t xml:space="preserve">ave proven experience in </w:t>
      </w:r>
      <w:r w:rsidRPr="00122B8B">
        <w:rPr>
          <w:rFonts w:ascii="Times New Roman" w:eastAsia="Times New Roman" w:hAnsi="Times New Roman" w:cs="Times New Roman"/>
          <w:color w:val="0E101A"/>
          <w:lang w:val="en-US"/>
        </w:rPr>
        <w:t>the investigative media</w:t>
      </w:r>
    </w:p>
    <w:p w14:paraId="2DDB9E29" w14:textId="77777777" w:rsidR="007F6754" w:rsidRPr="00122B8B" w:rsidRDefault="007F6754" w:rsidP="00963B89">
      <w:pPr>
        <w:numPr>
          <w:ilvl w:val="0"/>
          <w:numId w:val="33"/>
        </w:numPr>
        <w:spacing w:after="0" w:line="240" w:lineRule="auto"/>
        <w:jc w:val="both"/>
        <w:rPr>
          <w:rFonts w:ascii="Times New Roman" w:eastAsia="Times New Roman" w:hAnsi="Times New Roman" w:cs="Times New Roman"/>
          <w:color w:val="0E101A"/>
          <w:lang w:val="en-GB"/>
        </w:rPr>
      </w:pPr>
      <w:r w:rsidRPr="00122B8B">
        <w:rPr>
          <w:rFonts w:ascii="Times New Roman" w:eastAsia="Times New Roman" w:hAnsi="Times New Roman" w:cs="Times New Roman"/>
          <w:color w:val="0E101A"/>
          <w:lang w:val="en-GB"/>
        </w:rPr>
        <w:t>Have proven organizational capacity to manage and implement grants.</w:t>
      </w:r>
    </w:p>
    <w:p w14:paraId="4591233E" w14:textId="33DA60DE" w:rsidR="007F6754" w:rsidRPr="00122B8B" w:rsidRDefault="00CE0F48" w:rsidP="00963B89">
      <w:pPr>
        <w:pStyle w:val="NormalWeb"/>
        <w:jc w:val="both"/>
        <w:rPr>
          <w:b/>
          <w:bCs/>
          <w:sz w:val="22"/>
          <w:szCs w:val="22"/>
        </w:rPr>
      </w:pPr>
      <w:r w:rsidRPr="00122B8B">
        <w:rPr>
          <w:b/>
          <w:bCs/>
          <w:sz w:val="22"/>
          <w:szCs w:val="22"/>
        </w:rPr>
        <w:t xml:space="preserve">Please not! </w:t>
      </w:r>
      <w:r w:rsidR="007F6754" w:rsidRPr="00122B8B">
        <w:rPr>
          <w:b/>
          <w:bCs/>
          <w:sz w:val="22"/>
          <w:szCs w:val="22"/>
        </w:rPr>
        <w:t>Applications may be submitted individually or in consortia/partnerships/networks</w:t>
      </w:r>
    </w:p>
    <w:p w14:paraId="6C01D823" w14:textId="77777777" w:rsidR="007F6754" w:rsidRPr="00122B8B" w:rsidRDefault="007F6754" w:rsidP="00963B89">
      <w:pPr>
        <w:pStyle w:val="Heading3"/>
        <w:jc w:val="both"/>
        <w:rPr>
          <w:rStyle w:val="Strong"/>
          <w:b/>
          <w:bCs/>
          <w:sz w:val="22"/>
          <w:szCs w:val="22"/>
        </w:rPr>
      </w:pPr>
      <w:r w:rsidRPr="00122B8B">
        <w:rPr>
          <w:rStyle w:val="Strong"/>
          <w:sz w:val="22"/>
          <w:szCs w:val="22"/>
        </w:rPr>
        <w:t>A positive financial assessment by the EUACI of the selected project will be a condition for receiving support.</w:t>
      </w:r>
    </w:p>
    <w:p w14:paraId="1DCDB605"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Evaluation criteria</w:t>
      </w:r>
    </w:p>
    <w:p w14:paraId="77CCA8AB" w14:textId="77777777" w:rsidR="007F6754" w:rsidRPr="00122B8B" w:rsidRDefault="007F6754" w:rsidP="00963B89">
      <w:pPr>
        <w:pStyle w:val="NormalWeb"/>
        <w:jc w:val="both"/>
        <w:rPr>
          <w:sz w:val="22"/>
          <w:szCs w:val="22"/>
        </w:rPr>
      </w:pPr>
      <w:r w:rsidRPr="00122B8B">
        <w:rPr>
          <w:sz w:val="22"/>
          <w:szCs w:val="22"/>
        </w:rPr>
        <w:t>Proposals will be evaluated based on:</w:t>
      </w:r>
    </w:p>
    <w:p w14:paraId="016F9393" w14:textId="77777777" w:rsidR="007F6754" w:rsidRPr="00122B8B" w:rsidRDefault="007F6754" w:rsidP="00963B89">
      <w:pPr>
        <w:pStyle w:val="NormalWeb"/>
        <w:numPr>
          <w:ilvl w:val="0"/>
          <w:numId w:val="34"/>
        </w:numPr>
        <w:jc w:val="both"/>
        <w:rPr>
          <w:sz w:val="22"/>
          <w:szCs w:val="22"/>
        </w:rPr>
      </w:pPr>
      <w:r w:rsidRPr="00122B8B">
        <w:rPr>
          <w:sz w:val="22"/>
          <w:szCs w:val="22"/>
        </w:rPr>
        <w:t>Compliance with formal eligibility criteria</w:t>
      </w:r>
    </w:p>
    <w:p w14:paraId="307D0DCC" w14:textId="77777777" w:rsidR="007F6754" w:rsidRPr="00122B8B" w:rsidRDefault="007F6754" w:rsidP="00963B89">
      <w:pPr>
        <w:pStyle w:val="NormalWeb"/>
        <w:numPr>
          <w:ilvl w:val="0"/>
          <w:numId w:val="34"/>
        </w:numPr>
        <w:jc w:val="both"/>
        <w:rPr>
          <w:sz w:val="22"/>
          <w:szCs w:val="22"/>
        </w:rPr>
      </w:pPr>
      <w:r w:rsidRPr="00122B8B">
        <w:rPr>
          <w:sz w:val="22"/>
          <w:szCs w:val="22"/>
        </w:rPr>
        <w:t>Relevance to the objectives of the call</w:t>
      </w:r>
    </w:p>
    <w:p w14:paraId="48872912" w14:textId="77777777" w:rsidR="007F6754" w:rsidRPr="00122B8B" w:rsidRDefault="007F6754" w:rsidP="00963B89">
      <w:pPr>
        <w:pStyle w:val="NormalWeb"/>
        <w:numPr>
          <w:ilvl w:val="0"/>
          <w:numId w:val="34"/>
        </w:numPr>
        <w:jc w:val="both"/>
        <w:rPr>
          <w:sz w:val="22"/>
          <w:szCs w:val="22"/>
        </w:rPr>
      </w:pPr>
      <w:r w:rsidRPr="00122B8B">
        <w:rPr>
          <w:sz w:val="22"/>
          <w:szCs w:val="22"/>
        </w:rPr>
        <w:t>Experience and expertise of the organization</w:t>
      </w:r>
    </w:p>
    <w:p w14:paraId="043F7457" w14:textId="77777777" w:rsidR="007F6754" w:rsidRPr="00122B8B" w:rsidRDefault="007F6754" w:rsidP="00963B89">
      <w:pPr>
        <w:pStyle w:val="NormalWeb"/>
        <w:numPr>
          <w:ilvl w:val="0"/>
          <w:numId w:val="34"/>
        </w:numPr>
        <w:jc w:val="both"/>
        <w:rPr>
          <w:sz w:val="22"/>
          <w:szCs w:val="22"/>
        </w:rPr>
      </w:pPr>
      <w:r w:rsidRPr="00122B8B">
        <w:rPr>
          <w:sz w:val="22"/>
          <w:szCs w:val="22"/>
        </w:rPr>
        <w:t>Project feasibility, clarity, and potential for impact</w:t>
      </w:r>
    </w:p>
    <w:p w14:paraId="115EF2D8" w14:textId="77777777" w:rsidR="007F6754" w:rsidRPr="00122B8B" w:rsidRDefault="007F6754" w:rsidP="00963B89">
      <w:pPr>
        <w:pStyle w:val="NormalWeb"/>
        <w:numPr>
          <w:ilvl w:val="0"/>
          <w:numId w:val="34"/>
        </w:numPr>
        <w:jc w:val="both"/>
        <w:rPr>
          <w:sz w:val="22"/>
          <w:szCs w:val="22"/>
        </w:rPr>
      </w:pPr>
      <w:r w:rsidRPr="00122B8B">
        <w:rPr>
          <w:sz w:val="22"/>
          <w:szCs w:val="22"/>
        </w:rPr>
        <w:t>Budget clarity and cost-effectiveness</w:t>
      </w:r>
    </w:p>
    <w:p w14:paraId="0296F5A8" w14:textId="38D6F298" w:rsidR="007F6754" w:rsidRPr="00122B8B" w:rsidRDefault="007F6754" w:rsidP="00963B89">
      <w:pPr>
        <w:pStyle w:val="NormalWeb"/>
        <w:numPr>
          <w:ilvl w:val="0"/>
          <w:numId w:val="34"/>
        </w:numPr>
        <w:jc w:val="both"/>
        <w:rPr>
          <w:sz w:val="22"/>
          <w:szCs w:val="22"/>
        </w:rPr>
      </w:pPr>
      <w:r w:rsidRPr="00122B8B">
        <w:rPr>
          <w:sz w:val="22"/>
          <w:szCs w:val="22"/>
        </w:rPr>
        <w:t>Sustainability and scalability of proposed solutions</w:t>
      </w:r>
    </w:p>
    <w:p w14:paraId="1E12CA1E" w14:textId="32FEB223" w:rsidR="007F6754" w:rsidRPr="00122B8B" w:rsidRDefault="007F6754" w:rsidP="00963B89">
      <w:pPr>
        <w:numPr>
          <w:ilvl w:val="0"/>
          <w:numId w:val="34"/>
        </w:numPr>
        <w:spacing w:after="0" w:line="240" w:lineRule="auto"/>
        <w:jc w:val="both"/>
        <w:rPr>
          <w:rFonts w:ascii="Times New Roman" w:eastAsia="Times New Roman" w:hAnsi="Times New Roman" w:cs="Times New Roman"/>
          <w:color w:val="0E101A"/>
          <w:lang w:val="en-US"/>
        </w:rPr>
      </w:pPr>
      <w:r w:rsidRPr="00122B8B">
        <w:rPr>
          <w:rFonts w:ascii="Times New Roman" w:eastAsia="Times New Roman" w:hAnsi="Times New Roman" w:cs="Times New Roman"/>
          <w:color w:val="0E101A"/>
          <w:lang w:val="en-US"/>
        </w:rPr>
        <w:t>The level of the thematic expertise of the organization and experience in the anticorruption sphere.</w:t>
      </w:r>
    </w:p>
    <w:p w14:paraId="745ACF72" w14:textId="762B26A2" w:rsidR="007F6754" w:rsidRPr="00122B8B" w:rsidRDefault="007F6754" w:rsidP="00963B89">
      <w:pPr>
        <w:pStyle w:val="NormalWeb"/>
        <w:jc w:val="both"/>
        <w:rPr>
          <w:sz w:val="22"/>
          <w:szCs w:val="22"/>
        </w:rPr>
      </w:pPr>
      <w:r w:rsidRPr="00122B8B">
        <w:rPr>
          <w:sz w:val="22"/>
          <w:szCs w:val="22"/>
        </w:rPr>
        <w:t xml:space="preserve">Evaluation will be conducted by a Selection Committee composed of external </w:t>
      </w:r>
      <w:r w:rsidR="009736B2" w:rsidRPr="00122B8B">
        <w:rPr>
          <w:sz w:val="22"/>
          <w:szCs w:val="22"/>
        </w:rPr>
        <w:t>investigative media</w:t>
      </w:r>
      <w:r w:rsidRPr="00122B8B">
        <w:rPr>
          <w:sz w:val="22"/>
          <w:szCs w:val="22"/>
        </w:rPr>
        <w:t xml:space="preserve"> experts, along with EUACI team members.</w:t>
      </w:r>
    </w:p>
    <w:p w14:paraId="5AD54911"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The evaluation of received proposals will be based on the following overall criteria:</w:t>
      </w:r>
    </w:p>
    <w:p w14:paraId="4360FD4C" w14:textId="77777777" w:rsidR="007F6754" w:rsidRPr="00122B8B" w:rsidRDefault="007F6754" w:rsidP="00963B89">
      <w:pPr>
        <w:spacing w:after="0"/>
        <w:jc w:val="both"/>
        <w:rPr>
          <w:rFonts w:ascii="Times New Roman" w:hAnsi="Times New Roman" w:cs="Times New Roman"/>
          <w:lang w:val="en-GB"/>
        </w:rPr>
      </w:pPr>
    </w:p>
    <w:p w14:paraId="7AE22A91" w14:textId="77777777" w:rsidR="007F6754" w:rsidRPr="00122B8B" w:rsidRDefault="007F6754" w:rsidP="00963B89">
      <w:pPr>
        <w:pStyle w:val="ListParagraph"/>
        <w:keepNext/>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Eligibility of costs</w:t>
      </w:r>
    </w:p>
    <w:p w14:paraId="5187F456" w14:textId="321CA136" w:rsidR="007F6754" w:rsidRPr="00122B8B" w:rsidRDefault="007F6754" w:rsidP="00963B89">
      <w:pPr>
        <w:keepNext/>
        <w:spacing w:after="0"/>
        <w:jc w:val="both"/>
        <w:rPr>
          <w:rFonts w:ascii="Times New Roman" w:hAnsi="Times New Roman" w:cs="Times New Roman"/>
          <w:lang w:val="en-GB"/>
        </w:rPr>
      </w:pPr>
      <w:r w:rsidRPr="00122B8B">
        <w:rPr>
          <w:rFonts w:ascii="Times New Roman" w:hAnsi="Times New Roman" w:cs="Times New Roman"/>
          <w:lang w:val="en-GB"/>
        </w:rPr>
        <w:t>Only eligible costs can be covered by a grant. See annex E.</w:t>
      </w:r>
      <w:r w:rsidR="00963B89" w:rsidRPr="00122B8B">
        <w:rPr>
          <w:rFonts w:ascii="Times New Roman" w:hAnsi="Times New Roman" w:cs="Times New Roman"/>
          <w:lang w:val="en-GB"/>
        </w:rPr>
        <w:t xml:space="preserve"> </w:t>
      </w:r>
      <w:r w:rsidR="00963B89" w:rsidRPr="00122B8B">
        <w:rPr>
          <w:rFonts w:ascii="Times New Roman" w:hAnsi="Times New Roman" w:cs="Times New Roman"/>
        </w:rPr>
        <w:t>Applicants may include costs for organizational development, strategic planning, fundraising events, and similar activities in the project budget.</w:t>
      </w:r>
    </w:p>
    <w:p w14:paraId="67B5643A" w14:textId="77777777" w:rsidR="007F6754" w:rsidRPr="00122B8B" w:rsidRDefault="007F6754" w:rsidP="00963B89">
      <w:pPr>
        <w:spacing w:after="0"/>
        <w:jc w:val="both"/>
        <w:rPr>
          <w:rFonts w:ascii="Times New Roman" w:hAnsi="Times New Roman" w:cs="Times New Roman"/>
          <w:lang w:val="en-GB"/>
        </w:rPr>
      </w:pPr>
    </w:p>
    <w:p w14:paraId="34D2EEDF"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Ethics and code of conduct</w:t>
      </w:r>
    </w:p>
    <w:p w14:paraId="1B22A6C6"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Grant applicants are expected to live up to high ethical standards as well as organisational integrity, including respect for human rights as well as environmental legislation, compliance with core labour standards and zero-tolerance for sexual exploitation, abuse and harassment (SEAH), corruption, money-laundering and terrorism. Applicants may be excluded at any stage of the selection process if they do not live up to requirements in this area.</w:t>
      </w:r>
    </w:p>
    <w:p w14:paraId="1B64B187" w14:textId="77777777" w:rsidR="007F6754" w:rsidRPr="00122B8B" w:rsidRDefault="007F6754" w:rsidP="00963B89">
      <w:pPr>
        <w:spacing w:after="0"/>
        <w:jc w:val="both"/>
        <w:rPr>
          <w:rFonts w:ascii="Times New Roman" w:hAnsi="Times New Roman" w:cs="Times New Roman"/>
          <w:lang w:val="en-GB"/>
        </w:rPr>
      </w:pPr>
    </w:p>
    <w:p w14:paraId="00FB5958"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Duration, grant size and number of proposals to be selected</w:t>
      </w:r>
    </w:p>
    <w:p w14:paraId="459F3B84" w14:textId="6D00F0B5" w:rsidR="007F6754" w:rsidRPr="00122B8B" w:rsidRDefault="007F6754" w:rsidP="00963B89">
      <w:pPr>
        <w:autoSpaceDE w:val="0"/>
        <w:autoSpaceDN w:val="0"/>
        <w:adjustRightInd w:val="0"/>
        <w:spacing w:after="0"/>
        <w:jc w:val="both"/>
        <w:rPr>
          <w:rFonts w:ascii="Times New Roman" w:hAnsi="Times New Roman" w:cs="Times New Roman"/>
          <w:lang w:val="en-GB"/>
        </w:rPr>
      </w:pPr>
      <w:r w:rsidRPr="00122B8B">
        <w:rPr>
          <w:rFonts w:ascii="Times New Roman" w:hAnsi="Times New Roman" w:cs="Times New Roman"/>
          <w:lang w:val="en-GB"/>
        </w:rPr>
        <w:t xml:space="preserve">The planned duration of the proposal must not exceed </w:t>
      </w:r>
      <w:r w:rsidR="00384E08" w:rsidRPr="00122B8B">
        <w:rPr>
          <w:rFonts w:ascii="Times New Roman" w:hAnsi="Times New Roman" w:cs="Times New Roman"/>
          <w:lang w:val="en-GB"/>
        </w:rPr>
        <w:t xml:space="preserve">9 </w:t>
      </w:r>
      <w:r w:rsidRPr="00122B8B">
        <w:rPr>
          <w:rFonts w:ascii="Times New Roman" w:hAnsi="Times New Roman" w:cs="Times New Roman"/>
          <w:lang w:val="en-GB"/>
        </w:rPr>
        <w:t xml:space="preserve">months and </w:t>
      </w:r>
      <w:r w:rsidRPr="00122B8B">
        <w:rPr>
          <w:rFonts w:ascii="Times New Roman" w:hAnsi="Times New Roman" w:cs="Times New Roman"/>
        </w:rPr>
        <w:t>all projects must be completed by 31 December 2026.</w:t>
      </w:r>
    </w:p>
    <w:p w14:paraId="08BB19CA" w14:textId="77777777" w:rsidR="007F6754" w:rsidRPr="00122B8B" w:rsidRDefault="007F6754" w:rsidP="00963B89">
      <w:pPr>
        <w:autoSpaceDE w:val="0"/>
        <w:autoSpaceDN w:val="0"/>
        <w:adjustRightInd w:val="0"/>
        <w:spacing w:after="0"/>
        <w:jc w:val="both"/>
        <w:rPr>
          <w:rFonts w:ascii="Times New Roman" w:hAnsi="Times New Roman" w:cs="Times New Roman"/>
          <w:lang w:val="en-GB"/>
        </w:rPr>
      </w:pPr>
    </w:p>
    <w:p w14:paraId="0CD9095E" w14:textId="7B0D9D93" w:rsidR="007F6754" w:rsidRPr="00122B8B" w:rsidRDefault="007F6754" w:rsidP="00963B89">
      <w:pPr>
        <w:autoSpaceDE w:val="0"/>
        <w:autoSpaceDN w:val="0"/>
        <w:adjustRightInd w:val="0"/>
        <w:spacing w:after="0"/>
        <w:jc w:val="both"/>
        <w:rPr>
          <w:rFonts w:ascii="Times New Roman" w:hAnsi="Times New Roman" w:cs="Times New Roman"/>
          <w:lang w:val="en-GB"/>
        </w:rPr>
      </w:pPr>
      <w:r w:rsidRPr="00122B8B">
        <w:rPr>
          <w:rFonts w:ascii="Times New Roman" w:hAnsi="Times New Roman" w:cs="Times New Roman"/>
          <w:lang w:val="en-GB"/>
        </w:rPr>
        <w:lastRenderedPageBreak/>
        <w:t xml:space="preserve">The overall indicative amount made available under this Call for proposals is 200 000 EUR. </w:t>
      </w:r>
    </w:p>
    <w:p w14:paraId="54630B49" w14:textId="77777777" w:rsidR="007F6754" w:rsidRPr="00122B8B" w:rsidRDefault="007F6754" w:rsidP="00963B89">
      <w:pPr>
        <w:autoSpaceDE w:val="0"/>
        <w:autoSpaceDN w:val="0"/>
        <w:adjustRightInd w:val="0"/>
        <w:spacing w:after="0"/>
        <w:jc w:val="both"/>
        <w:rPr>
          <w:rFonts w:ascii="Times New Roman" w:hAnsi="Times New Roman" w:cs="Times New Roman"/>
          <w:lang w:val="en-GB"/>
        </w:rPr>
      </w:pPr>
    </w:p>
    <w:p w14:paraId="73A577DD"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Application and selection process</w:t>
      </w:r>
    </w:p>
    <w:p w14:paraId="2DF45B70"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To apply for this call for proposals applicants must provide information about the organisations/entities involved in the proposal by completing the Background information form (see template in Annex F).</w:t>
      </w:r>
    </w:p>
    <w:p w14:paraId="12649ECC" w14:textId="77777777" w:rsidR="007F6754" w:rsidRPr="00122B8B" w:rsidRDefault="007F6754" w:rsidP="00963B89">
      <w:pPr>
        <w:spacing w:after="0"/>
        <w:jc w:val="both"/>
        <w:rPr>
          <w:rFonts w:ascii="Times New Roman" w:hAnsi="Times New Roman" w:cs="Times New Roman"/>
          <w:color w:val="000000"/>
          <w:lang w:val="en-GB"/>
        </w:rPr>
      </w:pPr>
      <w:r w:rsidRPr="00122B8B">
        <w:rPr>
          <w:rFonts w:ascii="Times New Roman" w:hAnsi="Times New Roman" w:cs="Times New Roman"/>
          <w:color w:val="000000"/>
          <w:lang w:val="en-GB"/>
        </w:rPr>
        <w:t>The MFA is not obliged to fully support the proposals submitted. Hence, the MFA will inform the lead applicants that have been preselected, about their tentative level of funding and give feedback to the concept note. However, the MFA shall not define any activity and/or output, as this would constitute grounds for a procurement process instead of a grant award.</w:t>
      </w:r>
    </w:p>
    <w:p w14:paraId="03EA3235" w14:textId="732D3EC8" w:rsidR="007F6754" w:rsidRPr="00122B8B" w:rsidRDefault="007F6754" w:rsidP="00963B89">
      <w:pPr>
        <w:pStyle w:val="NormalWeb"/>
        <w:jc w:val="both"/>
        <w:rPr>
          <w:sz w:val="22"/>
          <w:szCs w:val="22"/>
        </w:rPr>
      </w:pPr>
      <w:r w:rsidRPr="00122B8B">
        <w:rPr>
          <w:sz w:val="22"/>
          <w:szCs w:val="22"/>
        </w:rPr>
        <w:t xml:space="preserve">Applicants must complete the </w:t>
      </w:r>
      <w:r w:rsidRPr="00122B8B">
        <w:rPr>
          <w:rStyle w:val="Strong"/>
          <w:sz w:val="22"/>
          <w:szCs w:val="22"/>
        </w:rPr>
        <w:t>Project Proposal (Annex 1)</w:t>
      </w:r>
      <w:r w:rsidRPr="00122B8B">
        <w:rPr>
          <w:sz w:val="22"/>
          <w:szCs w:val="22"/>
        </w:rPr>
        <w:t xml:space="preserve"> and </w:t>
      </w:r>
      <w:r w:rsidRPr="00122B8B">
        <w:rPr>
          <w:rStyle w:val="Strong"/>
          <w:sz w:val="22"/>
          <w:szCs w:val="22"/>
        </w:rPr>
        <w:t>Project Budget (Annex 2),</w:t>
      </w:r>
      <w:r w:rsidRPr="00122B8B">
        <w:rPr>
          <w:sz w:val="22"/>
          <w:szCs w:val="22"/>
        </w:rPr>
        <w:t xml:space="preserve"> Background information (see template in Annex F) forms in English and submit them via email to: </w:t>
      </w:r>
      <w:hyperlink r:id="rId7" w:history="1">
        <w:r w:rsidRPr="00122B8B">
          <w:rPr>
            <w:rStyle w:val="Hyperlink"/>
            <w:sz w:val="22"/>
            <w:szCs w:val="22"/>
          </w:rPr>
          <w:t>euaci@um.dk</w:t>
        </w:r>
      </w:hyperlink>
      <w:r w:rsidRPr="00122B8B">
        <w:rPr>
          <w:sz w:val="22"/>
          <w:szCs w:val="22"/>
        </w:rPr>
        <w:t xml:space="preserve"> and cc </w:t>
      </w:r>
      <w:r w:rsidRPr="00122B8B">
        <w:rPr>
          <w:rStyle w:val="Hyperlink"/>
          <w:sz w:val="22"/>
          <w:szCs w:val="22"/>
        </w:rPr>
        <w:t>sofgol@um.dk</w:t>
      </w:r>
      <w:r w:rsidRPr="00122B8B">
        <w:rPr>
          <w:sz w:val="22"/>
          <w:szCs w:val="22"/>
        </w:rPr>
        <w:t xml:space="preserve"> with the subject line: </w:t>
      </w:r>
      <w:r w:rsidRPr="00122B8B">
        <w:rPr>
          <w:rStyle w:val="Strong"/>
          <w:b w:val="0"/>
          <w:bCs w:val="0"/>
          <w:i/>
          <w:iCs/>
          <w:sz w:val="22"/>
          <w:szCs w:val="22"/>
        </w:rPr>
        <w:t>Investigative Media Grant 2026</w:t>
      </w:r>
      <w:r w:rsidRPr="00122B8B">
        <w:rPr>
          <w:sz w:val="22"/>
          <w:szCs w:val="22"/>
        </w:rPr>
        <w:t xml:space="preserve"> </w:t>
      </w:r>
      <w:r w:rsidRPr="00122B8B">
        <w:rPr>
          <w:sz w:val="22"/>
          <w:szCs w:val="22"/>
          <w:lang w:val="en-US"/>
        </w:rPr>
        <w:t xml:space="preserve"> </w:t>
      </w:r>
    </w:p>
    <w:p w14:paraId="4A94D88C" w14:textId="77777777" w:rsidR="007F6754" w:rsidRPr="00122B8B" w:rsidRDefault="007F6754" w:rsidP="00963B89">
      <w:pPr>
        <w:pStyle w:val="NormalWeb"/>
        <w:jc w:val="both"/>
        <w:rPr>
          <w:sz w:val="22"/>
          <w:szCs w:val="22"/>
        </w:rPr>
      </w:pPr>
      <w:r w:rsidRPr="00122B8B">
        <w:rPr>
          <w:sz w:val="22"/>
          <w:szCs w:val="22"/>
        </w:rPr>
        <w:t>Applications received after the deadline or without a detailed budget will not be considered.</w:t>
      </w:r>
    </w:p>
    <w:p w14:paraId="4B443CAA" w14:textId="624490FC" w:rsidR="007F6754" w:rsidRPr="00122B8B" w:rsidRDefault="007F6754" w:rsidP="00963B89">
      <w:pPr>
        <w:pStyle w:val="NormalWeb"/>
        <w:jc w:val="both"/>
        <w:rPr>
          <w:sz w:val="22"/>
          <w:szCs w:val="22"/>
        </w:rPr>
      </w:pPr>
      <w:r w:rsidRPr="00122B8B">
        <w:rPr>
          <w:sz w:val="22"/>
          <w:szCs w:val="22"/>
        </w:rPr>
        <w:t xml:space="preserve">If you do not receive a confirmation of receipt within 3 working days, please contact: </w:t>
      </w:r>
      <w:hyperlink r:id="rId8" w:history="1">
        <w:r w:rsidRPr="00122B8B">
          <w:rPr>
            <w:rStyle w:val="Hyperlink"/>
            <w:sz w:val="22"/>
            <w:szCs w:val="22"/>
          </w:rPr>
          <w:t>euaci@um.dk</w:t>
        </w:r>
      </w:hyperlink>
      <w:r w:rsidRPr="00122B8B">
        <w:rPr>
          <w:rStyle w:val="Hyperlink"/>
          <w:color w:val="auto"/>
          <w:sz w:val="22"/>
          <w:szCs w:val="22"/>
          <w:u w:val="none"/>
        </w:rPr>
        <w:t xml:space="preserve"> and </w:t>
      </w:r>
      <w:r w:rsidRPr="00122B8B">
        <w:rPr>
          <w:rStyle w:val="Hyperlink"/>
          <w:sz w:val="22"/>
          <w:szCs w:val="22"/>
        </w:rPr>
        <w:t>sofgol@um.dk</w:t>
      </w:r>
    </w:p>
    <w:p w14:paraId="13D81C61" w14:textId="77777777" w:rsidR="007F6754" w:rsidRPr="00122B8B" w:rsidRDefault="007F6754" w:rsidP="00963B89">
      <w:pPr>
        <w:pStyle w:val="Heading3"/>
        <w:jc w:val="both"/>
        <w:rPr>
          <w:sz w:val="22"/>
          <w:szCs w:val="22"/>
        </w:rPr>
      </w:pPr>
      <w:r w:rsidRPr="00122B8B">
        <w:rPr>
          <w:rStyle w:val="Strong"/>
          <w:sz w:val="22"/>
          <w:szCs w:val="22"/>
        </w:rPr>
        <w:t>Information Session</w:t>
      </w:r>
    </w:p>
    <w:p w14:paraId="64C567D0" w14:textId="71D8FEC2" w:rsidR="007F6754" w:rsidRPr="00122B8B" w:rsidRDefault="007F6754" w:rsidP="00963B89">
      <w:pPr>
        <w:pStyle w:val="NormalWeb"/>
        <w:jc w:val="both"/>
        <w:rPr>
          <w:sz w:val="22"/>
          <w:szCs w:val="22"/>
        </w:rPr>
      </w:pPr>
      <w:r w:rsidRPr="00122B8B">
        <w:rPr>
          <w:sz w:val="22"/>
          <w:szCs w:val="22"/>
        </w:rPr>
        <w:t xml:space="preserve">A presentation of the grant call will be held </w:t>
      </w:r>
      <w:r w:rsidRPr="00122B8B">
        <w:rPr>
          <w:rStyle w:val="Strong"/>
          <w:sz w:val="22"/>
          <w:szCs w:val="22"/>
        </w:rPr>
        <w:t xml:space="preserve">on January </w:t>
      </w:r>
      <w:r w:rsidR="00384E08" w:rsidRPr="00122B8B">
        <w:rPr>
          <w:rStyle w:val="Strong"/>
          <w:sz w:val="22"/>
          <w:szCs w:val="22"/>
        </w:rPr>
        <w:t>26</w:t>
      </w:r>
      <w:r w:rsidRPr="00122B8B">
        <w:rPr>
          <w:rStyle w:val="Strong"/>
          <w:sz w:val="22"/>
          <w:szCs w:val="22"/>
        </w:rPr>
        <w:t>, 2026, at 11:00 Kyiv time</w:t>
      </w:r>
      <w:r w:rsidRPr="00122B8B">
        <w:rPr>
          <w:sz w:val="22"/>
          <w:szCs w:val="22"/>
        </w:rPr>
        <w:t xml:space="preserve"> in both online </w:t>
      </w:r>
      <w:r w:rsidRPr="00122B8B">
        <w:rPr>
          <w:sz w:val="22"/>
          <w:szCs w:val="22"/>
          <w:lang w:val="en-US"/>
        </w:rPr>
        <w:t xml:space="preserve">and offline </w:t>
      </w:r>
      <w:r w:rsidRPr="00122B8B">
        <w:rPr>
          <w:sz w:val="22"/>
          <w:szCs w:val="22"/>
        </w:rPr>
        <w:t>formats.</w:t>
      </w:r>
    </w:p>
    <w:p w14:paraId="042C87B5" w14:textId="77777777" w:rsidR="007F6754" w:rsidRPr="00122B8B" w:rsidRDefault="007F6754" w:rsidP="00963B89">
      <w:pPr>
        <w:pStyle w:val="NormalWeb"/>
        <w:numPr>
          <w:ilvl w:val="0"/>
          <w:numId w:val="35"/>
        </w:numPr>
        <w:jc w:val="both"/>
        <w:rPr>
          <w:sz w:val="22"/>
          <w:szCs w:val="22"/>
        </w:rPr>
      </w:pPr>
      <w:r w:rsidRPr="00122B8B">
        <w:rPr>
          <w:rStyle w:val="Strong"/>
          <w:sz w:val="22"/>
          <w:szCs w:val="22"/>
        </w:rPr>
        <w:t>Online broadcast:</w:t>
      </w:r>
      <w:r w:rsidRPr="00122B8B">
        <w:rPr>
          <w:sz w:val="22"/>
          <w:szCs w:val="22"/>
        </w:rPr>
        <w:t xml:space="preserve"> EUACI YouTube channel and Facebook page</w:t>
      </w:r>
    </w:p>
    <w:p w14:paraId="61FFD4DA" w14:textId="586E9384" w:rsidR="00AD01ED" w:rsidRPr="00122B8B" w:rsidRDefault="007F6754" w:rsidP="0021207D">
      <w:pPr>
        <w:pStyle w:val="NormalWeb"/>
        <w:numPr>
          <w:ilvl w:val="0"/>
          <w:numId w:val="35"/>
        </w:numPr>
        <w:jc w:val="both"/>
        <w:rPr>
          <w:sz w:val="22"/>
          <w:szCs w:val="22"/>
        </w:rPr>
      </w:pPr>
      <w:r w:rsidRPr="00122B8B">
        <w:rPr>
          <w:rStyle w:val="Strong"/>
          <w:sz w:val="22"/>
          <w:szCs w:val="22"/>
        </w:rPr>
        <w:t>Registration link:</w:t>
      </w:r>
      <w:r w:rsidRPr="00122B8B">
        <w:rPr>
          <w:sz w:val="22"/>
          <w:szCs w:val="22"/>
          <w:lang w:val="uk-UA"/>
        </w:rPr>
        <w:t xml:space="preserve"> </w:t>
      </w:r>
      <w:r w:rsidR="00AD01ED" w:rsidRPr="00122B8B">
        <w:rPr>
          <w:sz w:val="22"/>
          <w:szCs w:val="22"/>
        </w:rPr>
        <w:t>https://forms.gle/j56yp3MbRNbEhPUP9</w:t>
      </w:r>
    </w:p>
    <w:p w14:paraId="43187CBE" w14:textId="77777777" w:rsidR="007F6754" w:rsidRPr="00122B8B" w:rsidRDefault="007F6754" w:rsidP="00963B89">
      <w:pPr>
        <w:pStyle w:val="Heading3"/>
        <w:jc w:val="both"/>
        <w:rPr>
          <w:b w:val="0"/>
          <w:bCs w:val="0"/>
          <w:sz w:val="22"/>
          <w:szCs w:val="22"/>
        </w:rPr>
      </w:pPr>
      <w:r w:rsidRPr="00122B8B">
        <w:rPr>
          <w:rStyle w:val="Strong"/>
          <w:b/>
          <w:bCs/>
          <w:sz w:val="22"/>
          <w:szCs w:val="22"/>
        </w:rPr>
        <w:t>Questions and Clarifications</w:t>
      </w:r>
    </w:p>
    <w:p w14:paraId="1D7654AD" w14:textId="681BB4EA" w:rsidR="007F6754" w:rsidRPr="00122B8B" w:rsidRDefault="007F6754" w:rsidP="00963B89">
      <w:pPr>
        <w:pStyle w:val="NormalWeb"/>
        <w:jc w:val="both"/>
        <w:rPr>
          <w:sz w:val="22"/>
          <w:szCs w:val="22"/>
        </w:rPr>
      </w:pPr>
      <w:r w:rsidRPr="00122B8B">
        <w:rPr>
          <w:sz w:val="22"/>
          <w:szCs w:val="22"/>
        </w:rPr>
        <w:t xml:space="preserve">Questions in English or Ukrainian should be sent to </w:t>
      </w:r>
      <w:hyperlink r:id="rId9" w:history="1">
        <w:r w:rsidRPr="00122B8B">
          <w:rPr>
            <w:rStyle w:val="Hyperlink"/>
            <w:sz w:val="22"/>
            <w:szCs w:val="22"/>
          </w:rPr>
          <w:t>euaci@um.dk</w:t>
        </w:r>
      </w:hyperlink>
      <w:r w:rsidRPr="00122B8B">
        <w:rPr>
          <w:sz w:val="22"/>
          <w:szCs w:val="22"/>
        </w:rPr>
        <w:t xml:space="preserve">  and </w:t>
      </w:r>
      <w:r w:rsidRPr="00122B8B">
        <w:rPr>
          <w:b/>
          <w:bCs/>
          <w:sz w:val="22"/>
          <w:szCs w:val="22"/>
        </w:rPr>
        <w:t>sofgol@um.dk</w:t>
      </w:r>
      <w:r w:rsidRPr="00122B8B">
        <w:rPr>
          <w:sz w:val="22"/>
          <w:szCs w:val="22"/>
        </w:rPr>
        <w:t xml:space="preserve"> no later than </w:t>
      </w:r>
      <w:r w:rsidR="00384E08" w:rsidRPr="00122B8B">
        <w:rPr>
          <w:b/>
          <w:bCs/>
          <w:sz w:val="22"/>
          <w:szCs w:val="22"/>
        </w:rPr>
        <w:t>February</w:t>
      </w:r>
      <w:r w:rsidR="00CE0F48" w:rsidRPr="00122B8B">
        <w:rPr>
          <w:b/>
          <w:bCs/>
          <w:sz w:val="22"/>
          <w:szCs w:val="22"/>
        </w:rPr>
        <w:t>,</w:t>
      </w:r>
      <w:r w:rsidRPr="00122B8B">
        <w:rPr>
          <w:b/>
          <w:bCs/>
          <w:sz w:val="22"/>
          <w:szCs w:val="22"/>
        </w:rPr>
        <w:t xml:space="preserve"> </w:t>
      </w:r>
      <w:r w:rsidR="00122B8B" w:rsidRPr="00122B8B">
        <w:rPr>
          <w:b/>
          <w:bCs/>
          <w:sz w:val="22"/>
          <w:szCs w:val="22"/>
        </w:rPr>
        <w:t>23</w:t>
      </w:r>
      <w:r w:rsidRPr="00122B8B">
        <w:rPr>
          <w:b/>
          <w:bCs/>
          <w:sz w:val="22"/>
          <w:szCs w:val="22"/>
        </w:rPr>
        <w:t>, 2026, at 17:00 Kyiv time</w:t>
      </w:r>
      <w:r w:rsidRPr="00122B8B">
        <w:rPr>
          <w:sz w:val="22"/>
          <w:szCs w:val="22"/>
        </w:rPr>
        <w:t xml:space="preserve"> with a clear reference to the title of the call </w:t>
      </w:r>
      <w:r w:rsidR="00CE0F48" w:rsidRPr="00122B8B">
        <w:rPr>
          <w:rStyle w:val="Strong"/>
          <w:b w:val="0"/>
          <w:bCs w:val="0"/>
          <w:i/>
          <w:iCs/>
          <w:sz w:val="22"/>
          <w:szCs w:val="22"/>
        </w:rPr>
        <w:t>Investigative Media Grant 2026</w:t>
      </w:r>
      <w:r w:rsidRPr="00122B8B">
        <w:rPr>
          <w:sz w:val="22"/>
          <w:szCs w:val="22"/>
        </w:rPr>
        <w:t>. EUACI may decline to respond to questions submitted after this deadline.</w:t>
      </w:r>
    </w:p>
    <w:p w14:paraId="5F9B278B" w14:textId="77777777" w:rsidR="007F6754" w:rsidRPr="00122B8B" w:rsidRDefault="007F6754" w:rsidP="00963B89">
      <w:pPr>
        <w:pStyle w:val="NormalWeb"/>
        <w:jc w:val="both"/>
        <w:rPr>
          <w:sz w:val="22"/>
          <w:szCs w:val="22"/>
        </w:rPr>
      </w:pPr>
      <w:r w:rsidRPr="00122B8B">
        <w:rPr>
          <w:sz w:val="22"/>
          <w:szCs w:val="22"/>
        </w:rPr>
        <w:t>Please note that EUACI will not provide prior assessments of applicant eligibility or proposal content.</w:t>
      </w:r>
    </w:p>
    <w:p w14:paraId="2F362257" w14:textId="77777777" w:rsidR="007F6754" w:rsidRPr="00122B8B" w:rsidRDefault="007F6754" w:rsidP="00963B89">
      <w:pPr>
        <w:autoSpaceDE w:val="0"/>
        <w:autoSpaceDN w:val="0"/>
        <w:adjustRightInd w:val="0"/>
        <w:spacing w:after="0"/>
        <w:jc w:val="both"/>
        <w:rPr>
          <w:rFonts w:ascii="Times New Roman" w:hAnsi="Times New Roman" w:cs="Times New Roman"/>
          <w:lang w:val="en-GB"/>
        </w:rPr>
      </w:pPr>
      <w:r w:rsidRPr="00122B8B">
        <w:rPr>
          <w:rFonts w:ascii="Times New Roman" w:hAnsi="Times New Roman" w:cs="Times New Roman"/>
          <w:color w:val="222222"/>
          <w:lang w:val="en-GB"/>
        </w:rPr>
        <w:t xml:space="preserve">The project proposal </w:t>
      </w:r>
      <w:r w:rsidRPr="00122B8B">
        <w:rPr>
          <w:rFonts w:ascii="Times New Roman" w:hAnsi="Times New Roman" w:cs="Times New Roman"/>
          <w:lang w:val="en-GB"/>
        </w:rPr>
        <w:t xml:space="preserve">will be evaluated and scored by the MFA Evaluation Committee. </w:t>
      </w:r>
    </w:p>
    <w:p w14:paraId="20406773" w14:textId="3FD55563" w:rsidR="00CE0F48" w:rsidRPr="00122B8B" w:rsidRDefault="007F6754" w:rsidP="00963B89">
      <w:pPr>
        <w:spacing w:after="0" w:line="240" w:lineRule="auto"/>
        <w:jc w:val="both"/>
        <w:rPr>
          <w:rFonts w:ascii="Times New Roman" w:eastAsia="Times New Roman" w:hAnsi="Times New Roman" w:cs="Times New Roman"/>
          <w:color w:val="0E101A"/>
          <w:lang w:val="en-US"/>
        </w:rPr>
      </w:pPr>
      <w:r w:rsidRPr="00122B8B">
        <w:rPr>
          <w:rFonts w:ascii="Times New Roman" w:hAnsi="Times New Roman" w:cs="Times New Roman"/>
          <w:lang w:val="en-GB"/>
        </w:rPr>
        <w:t xml:space="preserve">The MFA will make the final selection of application(s) based on the scoring of the full project proposals. The MFA will inform the applicants about the outcome of the evaluation by </w:t>
      </w:r>
      <w:r w:rsidR="00384E08" w:rsidRPr="00122B8B">
        <w:rPr>
          <w:rFonts w:ascii="Times New Roman" w:hAnsi="Times New Roman" w:cs="Times New Roman"/>
          <w:b/>
          <w:lang w:val="en-US"/>
        </w:rPr>
        <w:t>March</w:t>
      </w:r>
      <w:r w:rsidR="00122B8B" w:rsidRPr="00122B8B">
        <w:rPr>
          <w:rFonts w:ascii="Times New Roman" w:hAnsi="Times New Roman" w:cs="Times New Roman"/>
          <w:b/>
          <w:lang w:val="en-US"/>
        </w:rPr>
        <w:t xml:space="preserve"> 23</w:t>
      </w:r>
      <w:r w:rsidR="00CE0F48" w:rsidRPr="00122B8B">
        <w:rPr>
          <w:rFonts w:ascii="Times New Roman" w:hAnsi="Times New Roman" w:cs="Times New Roman"/>
          <w:b/>
          <w:lang w:val="en-US"/>
        </w:rPr>
        <w:t>, 2026.</w:t>
      </w:r>
    </w:p>
    <w:p w14:paraId="327E8854" w14:textId="77777777" w:rsidR="007F6754" w:rsidRPr="00122B8B" w:rsidRDefault="007F6754" w:rsidP="00963B89">
      <w:pPr>
        <w:spacing w:after="0"/>
        <w:jc w:val="both"/>
        <w:rPr>
          <w:rFonts w:ascii="Times New Roman" w:eastAsia="Times New Roman" w:hAnsi="Times New Roman" w:cs="Times New Roman"/>
          <w:color w:val="000000"/>
          <w:lang w:val="en-GB" w:eastAsia="da-DK"/>
        </w:rPr>
      </w:pPr>
    </w:p>
    <w:p w14:paraId="3B40C6D2"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The MFA reserves the right to reject applications that do not conform to the instructions at any stage of the selection process.</w:t>
      </w:r>
    </w:p>
    <w:p w14:paraId="3F184AFE" w14:textId="77777777" w:rsidR="007F6754" w:rsidRPr="00122B8B" w:rsidRDefault="007F6754" w:rsidP="00963B89">
      <w:pPr>
        <w:spacing w:after="0"/>
        <w:jc w:val="both"/>
        <w:rPr>
          <w:rFonts w:ascii="Times New Roman" w:hAnsi="Times New Roman" w:cs="Times New Roman"/>
          <w:lang w:val="en-GB"/>
        </w:rPr>
      </w:pPr>
    </w:p>
    <w:p w14:paraId="2201D0E9"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Final eligibility assessment</w:t>
      </w:r>
    </w:p>
    <w:p w14:paraId="3AB83DEE"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Before the final award of grant, the MFA must conduct a final eligibility assessment, e.g., by requiring supporting documents and initiating further inquiries as part of the MFA’s obligation to carry out a partner assessment/ due diligence review (cf. MFA Financial Management Guidelines for Development Cooperation)</w:t>
      </w:r>
      <w:r w:rsidRPr="00122B8B">
        <w:rPr>
          <w:rStyle w:val="FootnoteReference"/>
          <w:rFonts w:ascii="Times New Roman" w:hAnsi="Times New Roman" w:cs="Times New Roman"/>
          <w:lang w:val="en-GB"/>
        </w:rPr>
        <w:footnoteReference w:id="1"/>
      </w:r>
      <w:r w:rsidRPr="00122B8B">
        <w:rPr>
          <w:rFonts w:ascii="Times New Roman" w:hAnsi="Times New Roman" w:cs="Times New Roman"/>
          <w:lang w:val="en-GB"/>
        </w:rPr>
        <w:t xml:space="preserve">.  The purpose of this assessment is to ascertain grant recipients’ financial, operational, organisational capacity and compliance with general safeguards and MFA requirements. </w:t>
      </w:r>
    </w:p>
    <w:p w14:paraId="492CB1A5" w14:textId="77777777" w:rsidR="007F6754" w:rsidRPr="00122B8B" w:rsidRDefault="007F6754" w:rsidP="00963B89">
      <w:pPr>
        <w:spacing w:after="0"/>
        <w:jc w:val="both"/>
        <w:rPr>
          <w:rFonts w:ascii="Times New Roman" w:hAnsi="Times New Roman" w:cs="Times New Roman"/>
          <w:lang w:val="en-GB"/>
        </w:rPr>
      </w:pPr>
    </w:p>
    <w:p w14:paraId="52A7ED25" w14:textId="77777777"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Administration and dialogue with the MFA</w:t>
      </w:r>
    </w:p>
    <w:p w14:paraId="0F4174FE"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 xml:space="preserve">The call for proposals and the subsequent project/grant will be managed by Component 4: </w:t>
      </w:r>
      <w:r w:rsidRPr="00122B8B">
        <w:rPr>
          <w:rStyle w:val="Emphasis"/>
          <w:rFonts w:ascii="Times New Roman" w:hAnsi="Times New Roman" w:cs="Times New Roman"/>
          <w:lang w:val="en-GB"/>
        </w:rPr>
        <w:t>Civil society and media engagement in preventing and fighting corruption</w:t>
      </w:r>
      <w:r w:rsidRPr="00122B8B">
        <w:rPr>
          <w:rFonts w:ascii="Times New Roman" w:hAnsi="Times New Roman" w:cs="Times New Roman"/>
          <w:lang w:val="en-GB"/>
        </w:rPr>
        <w:t>.</w:t>
      </w:r>
    </w:p>
    <w:p w14:paraId="5D31F1DD" w14:textId="77777777" w:rsidR="007F6754" w:rsidRPr="00122B8B" w:rsidRDefault="007F6754" w:rsidP="00963B89">
      <w:pPr>
        <w:spacing w:after="0"/>
        <w:jc w:val="both"/>
        <w:rPr>
          <w:rFonts w:ascii="Times New Roman" w:hAnsi="Times New Roman" w:cs="Times New Roman"/>
          <w:lang w:val="en-GB"/>
        </w:rPr>
      </w:pPr>
    </w:p>
    <w:p w14:paraId="601890F6" w14:textId="77777777" w:rsidR="007F6754" w:rsidRPr="00122B8B" w:rsidRDefault="007F6754" w:rsidP="00963B89">
      <w:pPr>
        <w:spacing w:after="0"/>
        <w:jc w:val="both"/>
        <w:rPr>
          <w:rFonts w:ascii="Times New Roman" w:hAnsi="Times New Roman" w:cs="Times New Roman"/>
          <w:lang w:val="en-GB"/>
        </w:rPr>
      </w:pPr>
      <w:r w:rsidRPr="00122B8B">
        <w:rPr>
          <w:rFonts w:ascii="Times New Roman" w:hAnsi="Times New Roman" w:cs="Times New Roman"/>
          <w:lang w:val="en-GB"/>
        </w:rPr>
        <w:t xml:space="preserve">The grant will be administered according to the Guidelines for bilateral cooperation </w:t>
      </w:r>
      <w:hyperlink r:id="rId10" w:history="1">
        <w:r w:rsidRPr="00122B8B">
          <w:rPr>
            <w:rFonts w:ascii="Times New Roman" w:hAnsi="Times New Roman" w:cs="Times New Roman"/>
            <w:i/>
            <w:iCs/>
            <w:color w:val="0000FF"/>
            <w:u w:val="single"/>
            <w:lang w:val="en-GB"/>
          </w:rPr>
          <w:t>Guidelines for Programmes, Projects, Country Strategic Frameworks &amp; Hard Earmarked Multilateral Support</w:t>
        </w:r>
      </w:hyperlink>
      <w:r w:rsidRPr="00122B8B">
        <w:rPr>
          <w:rFonts w:ascii="Times New Roman" w:hAnsi="Times New Roman" w:cs="Times New Roman"/>
          <w:lang w:val="en-GB"/>
        </w:rPr>
        <w:t>]</w:t>
      </w:r>
    </w:p>
    <w:p w14:paraId="297E19DD" w14:textId="77777777" w:rsidR="007F6754" w:rsidRPr="00122B8B" w:rsidRDefault="007F6754" w:rsidP="00963B89">
      <w:pPr>
        <w:spacing w:after="0"/>
        <w:jc w:val="both"/>
        <w:rPr>
          <w:rFonts w:ascii="Times New Roman" w:hAnsi="Times New Roman" w:cs="Times New Roman"/>
          <w:lang w:val="en-GB"/>
        </w:rPr>
      </w:pPr>
    </w:p>
    <w:p w14:paraId="65B30DB9" w14:textId="201769C0" w:rsidR="007F6754" w:rsidRPr="00122B8B" w:rsidRDefault="007F6754" w:rsidP="00963B89">
      <w:pPr>
        <w:pStyle w:val="ListParagraph"/>
        <w:numPr>
          <w:ilvl w:val="0"/>
          <w:numId w:val="41"/>
        </w:numPr>
        <w:spacing w:after="0" w:line="276" w:lineRule="auto"/>
        <w:jc w:val="both"/>
        <w:rPr>
          <w:rFonts w:ascii="Times New Roman" w:hAnsi="Times New Roman" w:cs="Times New Roman"/>
          <w:b/>
          <w:bCs/>
          <w:lang w:val="en-GB"/>
        </w:rPr>
      </w:pPr>
      <w:r w:rsidRPr="00122B8B">
        <w:rPr>
          <w:rFonts w:ascii="Times New Roman" w:hAnsi="Times New Roman" w:cs="Times New Roman"/>
          <w:b/>
          <w:bCs/>
          <w:lang w:val="en-GB"/>
        </w:rPr>
        <w:t>Tentative timetable for the application and selection process</w:t>
      </w:r>
    </w:p>
    <w:p w14:paraId="21225544" w14:textId="77777777" w:rsidR="007F6754" w:rsidRPr="00122B8B" w:rsidRDefault="007F6754" w:rsidP="00963B89">
      <w:pPr>
        <w:jc w:val="both"/>
        <w:rPr>
          <w:rFonts w:ascii="Times New Roman" w:hAnsi="Times New Roman" w:cs="Times New Roman"/>
        </w:rPr>
      </w:pPr>
    </w:p>
    <w:tbl>
      <w:tblPr>
        <w:tblStyle w:val="TableGrid"/>
        <w:tblW w:w="0" w:type="auto"/>
        <w:tblLook w:val="04A0" w:firstRow="1" w:lastRow="0" w:firstColumn="1" w:lastColumn="0" w:noHBand="0" w:noVBand="1"/>
      </w:tblPr>
      <w:tblGrid>
        <w:gridCol w:w="5848"/>
        <w:gridCol w:w="3098"/>
      </w:tblGrid>
      <w:tr w:rsidR="007F6754" w:rsidRPr="00122B8B" w14:paraId="1AD0A0C7" w14:textId="77777777" w:rsidTr="0079188F">
        <w:trPr>
          <w:trHeight w:val="271"/>
        </w:trPr>
        <w:tc>
          <w:tcPr>
            <w:tcW w:w="5848" w:type="dxa"/>
            <w:tcBorders>
              <w:bottom w:val="single" w:sz="4" w:space="0" w:color="auto"/>
            </w:tcBorders>
          </w:tcPr>
          <w:p w14:paraId="3D2DCA20" w14:textId="77777777" w:rsidR="007F6754" w:rsidRPr="00122B8B" w:rsidRDefault="007F6754" w:rsidP="00963B89">
            <w:pPr>
              <w:jc w:val="both"/>
              <w:rPr>
                <w:rFonts w:ascii="Times New Roman" w:hAnsi="Times New Roman" w:cs="Times New Roman"/>
                <w:lang w:val="en-GB"/>
              </w:rPr>
            </w:pPr>
          </w:p>
        </w:tc>
        <w:tc>
          <w:tcPr>
            <w:tcW w:w="3098" w:type="dxa"/>
            <w:shd w:val="clear" w:color="auto" w:fill="D9D9D9" w:themeFill="background1" w:themeFillShade="D9"/>
          </w:tcPr>
          <w:p w14:paraId="20AFFED9" w14:textId="77777777" w:rsidR="007F6754" w:rsidRPr="00122B8B" w:rsidRDefault="007F6754" w:rsidP="00963B89">
            <w:pPr>
              <w:jc w:val="both"/>
              <w:rPr>
                <w:rFonts w:ascii="Times New Roman" w:hAnsi="Times New Roman" w:cs="Times New Roman"/>
                <w:b/>
                <w:lang w:val="en-GB"/>
              </w:rPr>
            </w:pPr>
            <w:r w:rsidRPr="00122B8B">
              <w:rPr>
                <w:rFonts w:ascii="Times New Roman" w:hAnsi="Times New Roman" w:cs="Times New Roman"/>
                <w:b/>
                <w:lang w:val="en-GB"/>
              </w:rPr>
              <w:t>Date, Kyiv time</w:t>
            </w:r>
          </w:p>
        </w:tc>
      </w:tr>
      <w:tr w:rsidR="007F6754" w:rsidRPr="00122B8B" w14:paraId="7B2A886A" w14:textId="77777777" w:rsidTr="0079188F">
        <w:trPr>
          <w:trHeight w:val="271"/>
        </w:trPr>
        <w:tc>
          <w:tcPr>
            <w:tcW w:w="5848" w:type="dxa"/>
            <w:shd w:val="clear" w:color="auto" w:fill="D9D9D9" w:themeFill="background1" w:themeFillShade="D9"/>
          </w:tcPr>
          <w:p w14:paraId="50B4B2E1"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 xml:space="preserve">Call for proposals published/forwarded </w:t>
            </w:r>
          </w:p>
        </w:tc>
        <w:tc>
          <w:tcPr>
            <w:tcW w:w="3098" w:type="dxa"/>
          </w:tcPr>
          <w:p w14:paraId="3F3F519B" w14:textId="5E9BF8AE" w:rsidR="007F6754" w:rsidRPr="00122B8B" w:rsidRDefault="00384E08" w:rsidP="00963B89">
            <w:pPr>
              <w:jc w:val="both"/>
              <w:rPr>
                <w:rFonts w:ascii="Times New Roman" w:hAnsi="Times New Roman" w:cs="Times New Roman"/>
                <w:lang w:val="en-GB"/>
              </w:rPr>
            </w:pPr>
            <w:r w:rsidRPr="00122B8B">
              <w:rPr>
                <w:rFonts w:ascii="Times New Roman" w:hAnsi="Times New Roman" w:cs="Times New Roman"/>
                <w:lang w:val="en-GB"/>
              </w:rPr>
              <w:t>January</w:t>
            </w:r>
            <w:r w:rsidR="007F6754" w:rsidRPr="00122B8B">
              <w:rPr>
                <w:rFonts w:ascii="Times New Roman" w:hAnsi="Times New Roman" w:cs="Times New Roman"/>
                <w:lang w:val="en-GB"/>
              </w:rPr>
              <w:t xml:space="preserve">, </w:t>
            </w:r>
            <w:r w:rsidR="00AD01ED" w:rsidRPr="00122B8B">
              <w:rPr>
                <w:rFonts w:ascii="Times New Roman" w:hAnsi="Times New Roman" w:cs="Times New Roman"/>
              </w:rPr>
              <w:t>22</w:t>
            </w:r>
            <w:r w:rsidR="007F6754" w:rsidRPr="00122B8B">
              <w:rPr>
                <w:rFonts w:ascii="Times New Roman" w:hAnsi="Times New Roman" w:cs="Times New Roman"/>
                <w:lang w:val="en-GB"/>
              </w:rPr>
              <w:t>, 202</w:t>
            </w:r>
            <w:r w:rsidR="00CE0F48" w:rsidRPr="00122B8B">
              <w:rPr>
                <w:rFonts w:ascii="Times New Roman" w:hAnsi="Times New Roman" w:cs="Times New Roman"/>
                <w:lang w:val="en-GB"/>
              </w:rPr>
              <w:t>6</w:t>
            </w:r>
          </w:p>
        </w:tc>
      </w:tr>
      <w:tr w:rsidR="007F6754" w:rsidRPr="00122B8B" w14:paraId="6D26B4E1" w14:textId="77777777" w:rsidTr="0079188F">
        <w:trPr>
          <w:trHeight w:val="533"/>
        </w:trPr>
        <w:tc>
          <w:tcPr>
            <w:tcW w:w="5848" w:type="dxa"/>
            <w:shd w:val="clear" w:color="auto" w:fill="D9D9D9" w:themeFill="background1" w:themeFillShade="D9"/>
          </w:tcPr>
          <w:p w14:paraId="29C033EF"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Deadline for issuing Q&amp;A</w:t>
            </w:r>
          </w:p>
        </w:tc>
        <w:tc>
          <w:tcPr>
            <w:tcW w:w="3098" w:type="dxa"/>
          </w:tcPr>
          <w:p w14:paraId="4D95212E" w14:textId="0EB89A3F" w:rsidR="007F6754" w:rsidRPr="00122B8B" w:rsidRDefault="00384E08" w:rsidP="00963B89">
            <w:pPr>
              <w:jc w:val="both"/>
              <w:rPr>
                <w:rFonts w:ascii="Times New Roman" w:hAnsi="Times New Roman" w:cs="Times New Roman"/>
                <w:lang w:val="en-US"/>
              </w:rPr>
            </w:pPr>
            <w:r w:rsidRPr="00122B8B">
              <w:rPr>
                <w:rFonts w:ascii="Times New Roman" w:hAnsi="Times New Roman" w:cs="Times New Roman"/>
                <w:lang w:val="en-US"/>
              </w:rPr>
              <w:t>February,</w:t>
            </w:r>
            <w:r w:rsidR="00AD01ED" w:rsidRPr="00122B8B">
              <w:rPr>
                <w:rFonts w:ascii="Times New Roman" w:hAnsi="Times New Roman" w:cs="Times New Roman"/>
              </w:rPr>
              <w:t>18</w:t>
            </w:r>
            <w:r w:rsidR="007F6754" w:rsidRPr="00122B8B">
              <w:rPr>
                <w:rFonts w:ascii="Times New Roman" w:hAnsi="Times New Roman" w:cs="Times New Roman"/>
              </w:rPr>
              <w:t>, 202</w:t>
            </w:r>
            <w:r w:rsidR="00CE0F48" w:rsidRPr="00122B8B">
              <w:rPr>
                <w:rFonts w:ascii="Times New Roman" w:hAnsi="Times New Roman" w:cs="Times New Roman"/>
                <w:lang w:val="en-US"/>
              </w:rPr>
              <w:t>6</w:t>
            </w:r>
          </w:p>
        </w:tc>
      </w:tr>
      <w:tr w:rsidR="007F6754" w:rsidRPr="00122B8B" w14:paraId="46270B2E" w14:textId="77777777" w:rsidTr="0079188F">
        <w:trPr>
          <w:trHeight w:val="543"/>
        </w:trPr>
        <w:tc>
          <w:tcPr>
            <w:tcW w:w="5848" w:type="dxa"/>
            <w:shd w:val="clear" w:color="auto" w:fill="D9D9D9" w:themeFill="background1" w:themeFillShade="D9"/>
          </w:tcPr>
          <w:p w14:paraId="00F60D69"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Deadline for submission of full project proposals</w:t>
            </w:r>
          </w:p>
        </w:tc>
        <w:tc>
          <w:tcPr>
            <w:tcW w:w="3098" w:type="dxa"/>
          </w:tcPr>
          <w:p w14:paraId="7A6D1762" w14:textId="1833179B" w:rsidR="007F6754" w:rsidRPr="00122B8B" w:rsidRDefault="00384E08" w:rsidP="00963B89">
            <w:pPr>
              <w:jc w:val="both"/>
              <w:rPr>
                <w:rFonts w:ascii="Times New Roman" w:hAnsi="Times New Roman" w:cs="Times New Roman"/>
                <w:b/>
                <w:bCs/>
                <w:lang w:val="en-US"/>
              </w:rPr>
            </w:pPr>
            <w:r w:rsidRPr="00122B8B">
              <w:rPr>
                <w:rStyle w:val="Strong"/>
                <w:rFonts w:ascii="Times New Roman" w:hAnsi="Times New Roman" w:cs="Times New Roman"/>
                <w:b w:val="0"/>
                <w:bCs w:val="0"/>
                <w:lang w:val="en-US"/>
              </w:rPr>
              <w:t>February,</w:t>
            </w:r>
            <w:r w:rsidR="00AD01ED" w:rsidRPr="00122B8B">
              <w:rPr>
                <w:rStyle w:val="Strong"/>
                <w:rFonts w:ascii="Times New Roman" w:hAnsi="Times New Roman" w:cs="Times New Roman"/>
                <w:b w:val="0"/>
                <w:bCs w:val="0"/>
              </w:rPr>
              <w:t>23</w:t>
            </w:r>
            <w:r w:rsidR="00CE0F48" w:rsidRPr="00122B8B">
              <w:rPr>
                <w:rStyle w:val="Strong"/>
                <w:rFonts w:ascii="Times New Roman" w:hAnsi="Times New Roman" w:cs="Times New Roman"/>
                <w:b w:val="0"/>
                <w:bCs w:val="0"/>
              </w:rPr>
              <w:t>, 202</w:t>
            </w:r>
            <w:r w:rsidR="00CE0F48" w:rsidRPr="00122B8B">
              <w:rPr>
                <w:rStyle w:val="Strong"/>
                <w:rFonts w:ascii="Times New Roman" w:hAnsi="Times New Roman" w:cs="Times New Roman"/>
                <w:b w:val="0"/>
                <w:bCs w:val="0"/>
                <w:lang w:val="en-US"/>
              </w:rPr>
              <w:t>6</w:t>
            </w:r>
          </w:p>
        </w:tc>
      </w:tr>
      <w:tr w:rsidR="007F6754" w:rsidRPr="00122B8B" w14:paraId="2C04A5CD" w14:textId="77777777" w:rsidTr="0079188F">
        <w:trPr>
          <w:trHeight w:val="815"/>
        </w:trPr>
        <w:tc>
          <w:tcPr>
            <w:tcW w:w="5848" w:type="dxa"/>
            <w:shd w:val="clear" w:color="auto" w:fill="D9D9D9" w:themeFill="background1" w:themeFillShade="D9"/>
          </w:tcPr>
          <w:p w14:paraId="62E4BD66"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Information to applications on evaluation of full project proposals/notification of award of grant</w:t>
            </w:r>
          </w:p>
        </w:tc>
        <w:tc>
          <w:tcPr>
            <w:tcW w:w="3098" w:type="dxa"/>
          </w:tcPr>
          <w:p w14:paraId="7C42DC26" w14:textId="41B76D66" w:rsidR="007F6754" w:rsidRPr="00122B8B" w:rsidRDefault="00CE0F48" w:rsidP="00963B89">
            <w:pPr>
              <w:jc w:val="both"/>
              <w:rPr>
                <w:rFonts w:ascii="Times New Roman" w:hAnsi="Times New Roman" w:cs="Times New Roman"/>
                <w:lang w:val="en-GB"/>
              </w:rPr>
            </w:pPr>
            <w:r w:rsidRPr="00122B8B">
              <w:rPr>
                <w:rFonts w:ascii="Times New Roman" w:hAnsi="Times New Roman" w:cs="Times New Roman"/>
                <w:lang w:val="en-US"/>
              </w:rPr>
              <w:t xml:space="preserve">By </w:t>
            </w:r>
            <w:r w:rsidR="00384E08" w:rsidRPr="00122B8B">
              <w:rPr>
                <w:rFonts w:ascii="Times New Roman" w:hAnsi="Times New Roman" w:cs="Times New Roman"/>
                <w:lang w:val="en-US"/>
              </w:rPr>
              <w:t>March</w:t>
            </w:r>
            <w:r w:rsidR="00AD01ED" w:rsidRPr="00122B8B">
              <w:rPr>
                <w:rFonts w:ascii="Times New Roman" w:hAnsi="Times New Roman" w:cs="Times New Roman"/>
              </w:rPr>
              <w:t xml:space="preserve"> 23</w:t>
            </w:r>
            <w:r w:rsidRPr="00122B8B">
              <w:rPr>
                <w:rFonts w:ascii="Times New Roman" w:hAnsi="Times New Roman" w:cs="Times New Roman"/>
                <w:lang w:val="en-US"/>
              </w:rPr>
              <w:t>, 2026</w:t>
            </w:r>
          </w:p>
        </w:tc>
      </w:tr>
      <w:tr w:rsidR="007F6754" w:rsidRPr="00122B8B" w14:paraId="66A2E09E" w14:textId="77777777" w:rsidTr="0079188F">
        <w:trPr>
          <w:trHeight w:val="543"/>
        </w:trPr>
        <w:tc>
          <w:tcPr>
            <w:tcW w:w="5848" w:type="dxa"/>
            <w:shd w:val="clear" w:color="auto" w:fill="D9D9D9" w:themeFill="background1" w:themeFillShade="D9"/>
          </w:tcPr>
          <w:p w14:paraId="49597706" w14:textId="77777777" w:rsidR="007F6754" w:rsidRPr="00122B8B" w:rsidRDefault="007F6754" w:rsidP="00963B89">
            <w:pPr>
              <w:pStyle w:val="ListParagraph"/>
              <w:numPr>
                <w:ilvl w:val="0"/>
                <w:numId w:val="42"/>
              </w:numPr>
              <w:spacing w:after="0" w:line="240" w:lineRule="auto"/>
              <w:jc w:val="both"/>
              <w:rPr>
                <w:rFonts w:ascii="Times New Roman" w:hAnsi="Times New Roman" w:cs="Times New Roman"/>
                <w:lang w:val="en-GB"/>
              </w:rPr>
            </w:pPr>
            <w:r w:rsidRPr="00122B8B">
              <w:rPr>
                <w:rFonts w:ascii="Times New Roman" w:hAnsi="Times New Roman" w:cs="Times New Roman"/>
                <w:lang w:val="en-GB"/>
              </w:rPr>
              <w:t>Signature of grant agreement</w:t>
            </w:r>
          </w:p>
        </w:tc>
        <w:tc>
          <w:tcPr>
            <w:tcW w:w="3098" w:type="dxa"/>
          </w:tcPr>
          <w:p w14:paraId="0837FAF3" w14:textId="1683D132" w:rsidR="007F6754" w:rsidRPr="00122B8B" w:rsidRDefault="007F6754" w:rsidP="00963B89">
            <w:pPr>
              <w:jc w:val="both"/>
              <w:rPr>
                <w:rFonts w:ascii="Times New Roman" w:hAnsi="Times New Roman" w:cs="Times New Roman"/>
                <w:lang w:val="en-GB"/>
              </w:rPr>
            </w:pPr>
            <w:r w:rsidRPr="00122B8B">
              <w:rPr>
                <w:rFonts w:ascii="Times New Roman" w:hAnsi="Times New Roman" w:cs="Times New Roman"/>
                <w:lang w:val="en-GB"/>
              </w:rPr>
              <w:t xml:space="preserve"> </w:t>
            </w:r>
            <w:r w:rsidR="00AD01ED" w:rsidRPr="00122B8B">
              <w:rPr>
                <w:rFonts w:ascii="Times New Roman" w:hAnsi="Times New Roman" w:cs="Times New Roman"/>
                <w:lang w:val="en-US"/>
              </w:rPr>
              <w:t xml:space="preserve">Beginning of </w:t>
            </w:r>
            <w:r w:rsidR="00384E08" w:rsidRPr="00122B8B">
              <w:rPr>
                <w:rFonts w:ascii="Times New Roman" w:hAnsi="Times New Roman" w:cs="Times New Roman"/>
                <w:lang w:val="en-US"/>
              </w:rPr>
              <w:t>April</w:t>
            </w:r>
            <w:r w:rsidR="00CE0F48" w:rsidRPr="00122B8B">
              <w:rPr>
                <w:rFonts w:ascii="Times New Roman" w:hAnsi="Times New Roman" w:cs="Times New Roman"/>
                <w:lang w:val="en-US"/>
              </w:rPr>
              <w:t>,2026.</w:t>
            </w:r>
          </w:p>
        </w:tc>
      </w:tr>
    </w:tbl>
    <w:p w14:paraId="118FEAE9" w14:textId="77777777" w:rsidR="007F6754" w:rsidRPr="00122B8B" w:rsidRDefault="007F6754" w:rsidP="00963B89">
      <w:pPr>
        <w:spacing w:after="0"/>
        <w:jc w:val="both"/>
        <w:rPr>
          <w:rFonts w:ascii="Times New Roman" w:hAnsi="Times New Roman" w:cs="Times New Roman"/>
          <w:lang w:val="en-GB"/>
        </w:rPr>
      </w:pPr>
    </w:p>
    <w:p w14:paraId="72A70D56" w14:textId="77777777" w:rsidR="007F6754" w:rsidRPr="00122B8B" w:rsidRDefault="007F6754" w:rsidP="00963B89">
      <w:pPr>
        <w:spacing w:after="200" w:line="276" w:lineRule="auto"/>
        <w:jc w:val="both"/>
        <w:rPr>
          <w:rFonts w:ascii="Times New Roman" w:hAnsi="Times New Roman" w:cs="Times New Roman"/>
          <w:lang w:val="en-US"/>
        </w:rPr>
      </w:pPr>
    </w:p>
    <w:p w14:paraId="630C05DE" w14:textId="77777777" w:rsidR="007D2987" w:rsidRPr="00122B8B" w:rsidRDefault="007D2987" w:rsidP="00963B89">
      <w:pPr>
        <w:spacing w:before="100" w:beforeAutospacing="1" w:after="100" w:afterAutospacing="1" w:line="240" w:lineRule="auto"/>
        <w:jc w:val="both"/>
        <w:rPr>
          <w:rFonts w:ascii="Times New Roman" w:hAnsi="Times New Roman" w:cs="Times New Roman"/>
          <w:lang w:val="en-US"/>
        </w:rPr>
      </w:pPr>
    </w:p>
    <w:sectPr w:rsidR="007D2987" w:rsidRPr="00122B8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4AAB" w14:textId="77777777" w:rsidR="007F6754" w:rsidRDefault="007F6754" w:rsidP="007F6754">
      <w:pPr>
        <w:spacing w:after="0" w:line="240" w:lineRule="auto"/>
      </w:pPr>
      <w:r>
        <w:separator/>
      </w:r>
    </w:p>
  </w:endnote>
  <w:endnote w:type="continuationSeparator" w:id="0">
    <w:p w14:paraId="084634EB" w14:textId="77777777" w:rsidR="007F6754" w:rsidRDefault="007F6754" w:rsidP="007F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7F89" w14:textId="77777777" w:rsidR="007F6754" w:rsidRDefault="007F6754" w:rsidP="007F6754">
      <w:pPr>
        <w:spacing w:after="0" w:line="240" w:lineRule="auto"/>
      </w:pPr>
      <w:r>
        <w:separator/>
      </w:r>
    </w:p>
  </w:footnote>
  <w:footnote w:type="continuationSeparator" w:id="0">
    <w:p w14:paraId="01B42659" w14:textId="77777777" w:rsidR="007F6754" w:rsidRDefault="007F6754" w:rsidP="007F6754">
      <w:pPr>
        <w:spacing w:after="0" w:line="240" w:lineRule="auto"/>
      </w:pPr>
      <w:r>
        <w:continuationSeparator/>
      </w:r>
    </w:p>
  </w:footnote>
  <w:footnote w:id="1">
    <w:p w14:paraId="5933BA7E" w14:textId="77777777" w:rsidR="007F6754" w:rsidRPr="009D77A1" w:rsidRDefault="007F6754" w:rsidP="007F6754">
      <w:pPr>
        <w:pStyle w:val="FootnoteText"/>
        <w:rPr>
          <w:rFonts w:ascii="Garamond" w:hAnsi="Garamond"/>
          <w:lang w:val="en-US"/>
        </w:rPr>
      </w:pPr>
      <w:r w:rsidRPr="009D77A1">
        <w:rPr>
          <w:rStyle w:val="FootnoteReference"/>
          <w:rFonts w:ascii="Garamond" w:hAnsi="Garamond"/>
        </w:rPr>
        <w:footnoteRef/>
      </w:r>
      <w:r w:rsidRPr="009D77A1">
        <w:rPr>
          <w:rFonts w:ascii="Garamond" w:hAnsi="Garamond" w:cstheme="minorHAnsi"/>
          <w:lang w:val="en-US"/>
        </w:rPr>
        <w:t xml:space="preserve"> </w:t>
      </w:r>
      <w:hyperlink r:id="rId1" w:history="1">
        <w:r w:rsidRPr="009D77A1">
          <w:rPr>
            <w:rStyle w:val="Hyperlink"/>
            <w:rFonts w:ascii="Garamond" w:hAnsi="Garamond" w:cstheme="minorHAnsi"/>
            <w:lang w:val="en-US"/>
          </w:rPr>
          <w:t>https://amg.um.dk/bilateral-cooperation/financial-management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2C1"/>
    <w:multiLevelType w:val="multilevel"/>
    <w:tmpl w:val="482067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896A6C"/>
    <w:multiLevelType w:val="multilevel"/>
    <w:tmpl w:val="E4E26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62738F"/>
    <w:multiLevelType w:val="multilevel"/>
    <w:tmpl w:val="FD24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D4EF4"/>
    <w:multiLevelType w:val="multilevel"/>
    <w:tmpl w:val="78002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09A20D9"/>
    <w:multiLevelType w:val="multilevel"/>
    <w:tmpl w:val="D9B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F3F37"/>
    <w:multiLevelType w:val="multilevel"/>
    <w:tmpl w:val="BFA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47536"/>
    <w:multiLevelType w:val="multilevel"/>
    <w:tmpl w:val="D0C82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ED0ECF"/>
    <w:multiLevelType w:val="multilevel"/>
    <w:tmpl w:val="B5CE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B7277"/>
    <w:multiLevelType w:val="multilevel"/>
    <w:tmpl w:val="3868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D6292"/>
    <w:multiLevelType w:val="multilevel"/>
    <w:tmpl w:val="8A6CB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A237017"/>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A11920"/>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C300F6F"/>
    <w:multiLevelType w:val="hybridMultilevel"/>
    <w:tmpl w:val="6C104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3598"/>
    <w:multiLevelType w:val="multilevel"/>
    <w:tmpl w:val="B1827CA8"/>
    <w:lvl w:ilvl="0">
      <w:start w:val="10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2E37BB"/>
    <w:multiLevelType w:val="multilevel"/>
    <w:tmpl w:val="7A7C88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9476D0"/>
    <w:multiLevelType w:val="multilevel"/>
    <w:tmpl w:val="981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C48A8"/>
    <w:multiLevelType w:val="multilevel"/>
    <w:tmpl w:val="282E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33CB9"/>
    <w:multiLevelType w:val="multilevel"/>
    <w:tmpl w:val="AA0A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857EA"/>
    <w:multiLevelType w:val="multilevel"/>
    <w:tmpl w:val="C812DB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1F66CCA"/>
    <w:multiLevelType w:val="multilevel"/>
    <w:tmpl w:val="8734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3AFE605D"/>
    <w:multiLevelType w:val="multilevel"/>
    <w:tmpl w:val="5536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16F61"/>
    <w:multiLevelType w:val="multilevel"/>
    <w:tmpl w:val="43E63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57D0082"/>
    <w:multiLevelType w:val="multilevel"/>
    <w:tmpl w:val="7004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97357"/>
    <w:multiLevelType w:val="multilevel"/>
    <w:tmpl w:val="253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8B6028"/>
    <w:multiLevelType w:val="multilevel"/>
    <w:tmpl w:val="6390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25F15"/>
    <w:multiLevelType w:val="multilevel"/>
    <w:tmpl w:val="DCC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56D92"/>
    <w:multiLevelType w:val="multilevel"/>
    <w:tmpl w:val="77E2B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592A7E"/>
    <w:multiLevelType w:val="multilevel"/>
    <w:tmpl w:val="A190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F3B9F"/>
    <w:multiLevelType w:val="multilevel"/>
    <w:tmpl w:val="208A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8E5E6D"/>
    <w:multiLevelType w:val="multilevel"/>
    <w:tmpl w:val="9BB87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6566CB3"/>
    <w:multiLevelType w:val="multilevel"/>
    <w:tmpl w:val="DB18C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70074DD"/>
    <w:multiLevelType w:val="multilevel"/>
    <w:tmpl w:val="2E026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BF36B1"/>
    <w:multiLevelType w:val="multilevel"/>
    <w:tmpl w:val="B4DA8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4F0853"/>
    <w:multiLevelType w:val="multilevel"/>
    <w:tmpl w:val="0492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5F1278"/>
    <w:multiLevelType w:val="multilevel"/>
    <w:tmpl w:val="6FE2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FB7BBE"/>
    <w:multiLevelType w:val="hybridMultilevel"/>
    <w:tmpl w:val="3C284ED0"/>
    <w:lvl w:ilvl="0" w:tplc="FBF0CBD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86950"/>
    <w:multiLevelType w:val="multilevel"/>
    <w:tmpl w:val="B978C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393910"/>
    <w:multiLevelType w:val="multilevel"/>
    <w:tmpl w:val="C7FA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C17B7"/>
    <w:multiLevelType w:val="multilevel"/>
    <w:tmpl w:val="07C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31"/>
  </w:num>
  <w:num w:numId="5">
    <w:abstractNumId w:val="9"/>
  </w:num>
  <w:num w:numId="6">
    <w:abstractNumId w:val="22"/>
  </w:num>
  <w:num w:numId="7">
    <w:abstractNumId w:val="30"/>
  </w:num>
  <w:num w:numId="8">
    <w:abstractNumId w:val="1"/>
  </w:num>
  <w:num w:numId="9">
    <w:abstractNumId w:val="30"/>
  </w:num>
  <w:num w:numId="10">
    <w:abstractNumId w:val="11"/>
  </w:num>
  <w:num w:numId="11">
    <w:abstractNumId w:val="33"/>
  </w:num>
  <w:num w:numId="12">
    <w:abstractNumId w:val="13"/>
  </w:num>
  <w:num w:numId="13">
    <w:abstractNumId w:val="0"/>
  </w:num>
  <w:num w:numId="14">
    <w:abstractNumId w:val="3"/>
  </w:num>
  <w:num w:numId="15">
    <w:abstractNumId w:val="18"/>
  </w:num>
  <w:num w:numId="16">
    <w:abstractNumId w:val="14"/>
  </w:num>
  <w:num w:numId="17">
    <w:abstractNumId w:val="38"/>
  </w:num>
  <w:num w:numId="18">
    <w:abstractNumId w:val="32"/>
  </w:num>
  <w:num w:numId="19">
    <w:abstractNumId w:val="39"/>
  </w:num>
  <w:num w:numId="20">
    <w:abstractNumId w:val="7"/>
  </w:num>
  <w:num w:numId="21">
    <w:abstractNumId w:val="35"/>
  </w:num>
  <w:num w:numId="22">
    <w:abstractNumId w:val="17"/>
  </w:num>
  <w:num w:numId="23">
    <w:abstractNumId w:val="8"/>
  </w:num>
  <w:num w:numId="24">
    <w:abstractNumId w:val="36"/>
  </w:num>
  <w:num w:numId="25">
    <w:abstractNumId w:val="5"/>
  </w:num>
  <w:num w:numId="26">
    <w:abstractNumId w:val="2"/>
  </w:num>
  <w:num w:numId="27">
    <w:abstractNumId w:val="24"/>
  </w:num>
  <w:num w:numId="28">
    <w:abstractNumId w:val="23"/>
  </w:num>
  <w:num w:numId="29">
    <w:abstractNumId w:val="15"/>
  </w:num>
  <w:num w:numId="30">
    <w:abstractNumId w:val="29"/>
  </w:num>
  <w:num w:numId="31">
    <w:abstractNumId w:val="21"/>
  </w:num>
  <w:num w:numId="32">
    <w:abstractNumId w:val="26"/>
  </w:num>
  <w:num w:numId="33">
    <w:abstractNumId w:val="28"/>
  </w:num>
  <w:num w:numId="34">
    <w:abstractNumId w:val="25"/>
  </w:num>
  <w:num w:numId="35">
    <w:abstractNumId w:val="4"/>
  </w:num>
  <w:num w:numId="36">
    <w:abstractNumId w:val="37"/>
  </w:num>
  <w:num w:numId="37">
    <w:abstractNumId w:val="34"/>
  </w:num>
  <w:num w:numId="38">
    <w:abstractNumId w:val="16"/>
  </w:num>
  <w:num w:numId="39">
    <w:abstractNumId w:val="19"/>
  </w:num>
  <w:num w:numId="40">
    <w:abstractNumId w:val="12"/>
  </w:num>
  <w:num w:numId="41">
    <w:abstractNumId w:val="40"/>
  </w:num>
  <w:num w:numId="42">
    <w:abstractNumId w:val="2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EB"/>
    <w:rsid w:val="00011899"/>
    <w:rsid w:val="00022E54"/>
    <w:rsid w:val="000245AC"/>
    <w:rsid w:val="00047629"/>
    <w:rsid w:val="000562C2"/>
    <w:rsid w:val="000A4211"/>
    <w:rsid w:val="000B3779"/>
    <w:rsid w:val="000B58B1"/>
    <w:rsid w:val="000B5DED"/>
    <w:rsid w:val="000C6EE5"/>
    <w:rsid w:val="000E0282"/>
    <w:rsid w:val="000E3B99"/>
    <w:rsid w:val="001200E2"/>
    <w:rsid w:val="00122B8B"/>
    <w:rsid w:val="001D1ED3"/>
    <w:rsid w:val="001E314D"/>
    <w:rsid w:val="00205C2E"/>
    <w:rsid w:val="002276DB"/>
    <w:rsid w:val="002539FB"/>
    <w:rsid w:val="0026638C"/>
    <w:rsid w:val="00286EE9"/>
    <w:rsid w:val="002953DA"/>
    <w:rsid w:val="002D5359"/>
    <w:rsid w:val="002D59EC"/>
    <w:rsid w:val="002F297D"/>
    <w:rsid w:val="00305C16"/>
    <w:rsid w:val="00317E36"/>
    <w:rsid w:val="00324B80"/>
    <w:rsid w:val="003746D2"/>
    <w:rsid w:val="00384E08"/>
    <w:rsid w:val="003B0301"/>
    <w:rsid w:val="003B2ACC"/>
    <w:rsid w:val="003E2C8A"/>
    <w:rsid w:val="00480167"/>
    <w:rsid w:val="004D2505"/>
    <w:rsid w:val="00530C61"/>
    <w:rsid w:val="0055407E"/>
    <w:rsid w:val="00594BA0"/>
    <w:rsid w:val="005A7027"/>
    <w:rsid w:val="00606F4E"/>
    <w:rsid w:val="00651A75"/>
    <w:rsid w:val="006730EB"/>
    <w:rsid w:val="00674D4A"/>
    <w:rsid w:val="0068156E"/>
    <w:rsid w:val="006839E0"/>
    <w:rsid w:val="006B3576"/>
    <w:rsid w:val="006B6AB2"/>
    <w:rsid w:val="006C1E91"/>
    <w:rsid w:val="006C38EC"/>
    <w:rsid w:val="006E6D6E"/>
    <w:rsid w:val="006F1F5E"/>
    <w:rsid w:val="006F2047"/>
    <w:rsid w:val="00717160"/>
    <w:rsid w:val="00740D89"/>
    <w:rsid w:val="007B3EB2"/>
    <w:rsid w:val="007D2987"/>
    <w:rsid w:val="007F33DC"/>
    <w:rsid w:val="007F6754"/>
    <w:rsid w:val="00847C75"/>
    <w:rsid w:val="008519E2"/>
    <w:rsid w:val="008741B7"/>
    <w:rsid w:val="00876401"/>
    <w:rsid w:val="00881651"/>
    <w:rsid w:val="008B6FBD"/>
    <w:rsid w:val="008C650A"/>
    <w:rsid w:val="008E0E40"/>
    <w:rsid w:val="009016EE"/>
    <w:rsid w:val="00933480"/>
    <w:rsid w:val="0095246E"/>
    <w:rsid w:val="00963B89"/>
    <w:rsid w:val="009649CE"/>
    <w:rsid w:val="00966067"/>
    <w:rsid w:val="00970F1E"/>
    <w:rsid w:val="009736B2"/>
    <w:rsid w:val="00990397"/>
    <w:rsid w:val="00997BA5"/>
    <w:rsid w:val="009E1801"/>
    <w:rsid w:val="00A1719B"/>
    <w:rsid w:val="00A3220B"/>
    <w:rsid w:val="00A35138"/>
    <w:rsid w:val="00A55E9D"/>
    <w:rsid w:val="00A92ABD"/>
    <w:rsid w:val="00AA5129"/>
    <w:rsid w:val="00AC0B89"/>
    <w:rsid w:val="00AD01ED"/>
    <w:rsid w:val="00B07224"/>
    <w:rsid w:val="00B17393"/>
    <w:rsid w:val="00BC14CA"/>
    <w:rsid w:val="00BC4A4D"/>
    <w:rsid w:val="00BF4BBA"/>
    <w:rsid w:val="00C05039"/>
    <w:rsid w:val="00C16D00"/>
    <w:rsid w:val="00C432E1"/>
    <w:rsid w:val="00C928FF"/>
    <w:rsid w:val="00CA6844"/>
    <w:rsid w:val="00CC3055"/>
    <w:rsid w:val="00CE0F48"/>
    <w:rsid w:val="00CE5124"/>
    <w:rsid w:val="00D11685"/>
    <w:rsid w:val="00D57C10"/>
    <w:rsid w:val="00D60D2F"/>
    <w:rsid w:val="00D60DB3"/>
    <w:rsid w:val="00D634E1"/>
    <w:rsid w:val="00DD0337"/>
    <w:rsid w:val="00E00313"/>
    <w:rsid w:val="00E3450F"/>
    <w:rsid w:val="00E47D07"/>
    <w:rsid w:val="00E701B3"/>
    <w:rsid w:val="00E87062"/>
    <w:rsid w:val="00EC2774"/>
    <w:rsid w:val="00EE6F07"/>
    <w:rsid w:val="00F769AD"/>
    <w:rsid w:val="00F81FFE"/>
    <w:rsid w:val="00FC67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B190"/>
  <w15:chartTrackingRefBased/>
  <w15:docId w15:val="{B71CB777-DC16-4ADC-8E49-17FC90FF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EC"/>
    <w:pPr>
      <w:spacing w:after="160" w:line="256" w:lineRule="auto"/>
    </w:pPr>
    <w:rPr>
      <w:rFonts w:asciiTheme="minorHAnsi" w:hAnsiTheme="minorHAnsi"/>
      <w:sz w:val="22"/>
      <w:szCs w:val="22"/>
      <w:lang w:val="uk-UA"/>
    </w:rPr>
  </w:style>
  <w:style w:type="paragraph" w:styleId="Heading3">
    <w:name w:val="heading 3"/>
    <w:basedOn w:val="Normal"/>
    <w:link w:val="Heading3Char"/>
    <w:uiPriority w:val="9"/>
    <w:qFormat/>
    <w:rsid w:val="00651A75"/>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38EC"/>
    <w:rPr>
      <w:b/>
      <w:bCs/>
    </w:rPr>
  </w:style>
  <w:style w:type="paragraph" w:styleId="CommentText">
    <w:name w:val="annotation text"/>
    <w:basedOn w:val="Normal"/>
    <w:link w:val="CommentTextChar"/>
    <w:uiPriority w:val="99"/>
    <w:semiHidden/>
    <w:unhideWhenUsed/>
    <w:rsid w:val="009E1801"/>
    <w:pPr>
      <w:spacing w:line="240" w:lineRule="auto"/>
    </w:pPr>
    <w:rPr>
      <w:sz w:val="20"/>
      <w:szCs w:val="20"/>
    </w:rPr>
  </w:style>
  <w:style w:type="character" w:customStyle="1" w:styleId="CommentTextChar">
    <w:name w:val="Comment Text Char"/>
    <w:basedOn w:val="DefaultParagraphFont"/>
    <w:link w:val="CommentText"/>
    <w:uiPriority w:val="99"/>
    <w:semiHidden/>
    <w:rsid w:val="009E1801"/>
    <w:rPr>
      <w:rFonts w:asciiTheme="minorHAnsi" w:hAnsiTheme="minorHAnsi"/>
      <w:lang w:val="uk-UA"/>
    </w:rPr>
  </w:style>
  <w:style w:type="character" w:styleId="CommentReference">
    <w:name w:val="annotation reference"/>
    <w:basedOn w:val="DefaultParagraphFont"/>
    <w:uiPriority w:val="99"/>
    <w:semiHidden/>
    <w:unhideWhenUsed/>
    <w:rsid w:val="009E1801"/>
    <w:rPr>
      <w:sz w:val="16"/>
      <w:szCs w:val="16"/>
    </w:rPr>
  </w:style>
  <w:style w:type="paragraph" w:styleId="BalloonText">
    <w:name w:val="Balloon Text"/>
    <w:basedOn w:val="Normal"/>
    <w:link w:val="BalloonTextChar"/>
    <w:uiPriority w:val="99"/>
    <w:semiHidden/>
    <w:unhideWhenUsed/>
    <w:rsid w:val="009E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801"/>
    <w:rPr>
      <w:rFonts w:ascii="Segoe UI" w:hAnsi="Segoe UI" w:cs="Segoe UI"/>
      <w:sz w:val="18"/>
      <w:szCs w:val="18"/>
      <w:lang w:val="uk-UA"/>
    </w:rPr>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9016EE"/>
    <w:pPr>
      <w:ind w:left="720"/>
      <w:contextualSpacing/>
    </w:pPr>
  </w:style>
  <w:style w:type="paragraph" w:styleId="CommentSubject">
    <w:name w:val="annotation subject"/>
    <w:basedOn w:val="CommentText"/>
    <w:next w:val="CommentText"/>
    <w:link w:val="CommentSubjectChar"/>
    <w:uiPriority w:val="99"/>
    <w:semiHidden/>
    <w:unhideWhenUsed/>
    <w:rsid w:val="00A35138"/>
    <w:rPr>
      <w:b/>
      <w:bCs/>
    </w:rPr>
  </w:style>
  <w:style w:type="character" w:customStyle="1" w:styleId="CommentSubjectChar">
    <w:name w:val="Comment Subject Char"/>
    <w:basedOn w:val="CommentTextChar"/>
    <w:link w:val="CommentSubject"/>
    <w:uiPriority w:val="99"/>
    <w:semiHidden/>
    <w:rsid w:val="00A35138"/>
    <w:rPr>
      <w:rFonts w:asciiTheme="minorHAnsi" w:hAnsiTheme="minorHAnsi"/>
      <w:b/>
      <w:bCs/>
      <w:lang w:val="uk-UA"/>
    </w:rPr>
  </w:style>
  <w:style w:type="character" w:styleId="Hyperlink">
    <w:name w:val="Hyperlink"/>
    <w:basedOn w:val="DefaultParagraphFont"/>
    <w:uiPriority w:val="99"/>
    <w:unhideWhenUsed/>
    <w:rsid w:val="00DD0337"/>
    <w:rPr>
      <w:color w:val="0000FF" w:themeColor="hyperlink"/>
      <w:u w:val="single"/>
    </w:rPr>
  </w:style>
  <w:style w:type="character" w:styleId="FollowedHyperlink">
    <w:name w:val="FollowedHyperlink"/>
    <w:basedOn w:val="DefaultParagraphFont"/>
    <w:uiPriority w:val="99"/>
    <w:semiHidden/>
    <w:unhideWhenUsed/>
    <w:rsid w:val="006B3576"/>
    <w:rPr>
      <w:color w:val="800080" w:themeColor="followedHyperlink"/>
      <w:u w:val="single"/>
    </w:rPr>
  </w:style>
  <w:style w:type="paragraph" w:styleId="NormalWeb">
    <w:name w:val="Normal (Web)"/>
    <w:basedOn w:val="Normal"/>
    <w:uiPriority w:val="99"/>
    <w:unhideWhenUsed/>
    <w:rsid w:val="000C6E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651A75"/>
    <w:rPr>
      <w:rFonts w:ascii="Times New Roman" w:eastAsia="Times New Roman" w:hAnsi="Times New Roman" w:cs="Times New Roman"/>
      <w:b/>
      <w:bCs/>
      <w:sz w:val="27"/>
      <w:szCs w:val="27"/>
      <w:lang w:val="en-GB" w:eastAsia="en-GB"/>
    </w:rPr>
  </w:style>
  <w:style w:type="character" w:styleId="Emphasis">
    <w:name w:val="Emphasis"/>
    <w:basedOn w:val="DefaultParagraphFont"/>
    <w:uiPriority w:val="20"/>
    <w:qFormat/>
    <w:rsid w:val="007F6754"/>
    <w:rPr>
      <w:i/>
      <w:iCs/>
    </w:rPr>
  </w:style>
  <w:style w:type="table" w:styleId="TableGrid">
    <w:name w:val="Table Grid"/>
    <w:basedOn w:val="TableNormal"/>
    <w:uiPriority w:val="59"/>
    <w:rsid w:val="007F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F6754"/>
    <w:pPr>
      <w:spacing w:after="0" w:line="240" w:lineRule="auto"/>
    </w:pPr>
    <w:rPr>
      <w:rFonts w:ascii="Verdana" w:hAnsi="Verdana"/>
      <w:sz w:val="20"/>
      <w:szCs w:val="20"/>
      <w:lang w:val="da-DK"/>
    </w:rPr>
  </w:style>
  <w:style w:type="character" w:customStyle="1" w:styleId="FootnoteTextChar">
    <w:name w:val="Footnote Text Char"/>
    <w:basedOn w:val="DefaultParagraphFont"/>
    <w:link w:val="FootnoteText"/>
    <w:semiHidden/>
    <w:rsid w:val="007F6754"/>
  </w:style>
  <w:style w:type="character" w:styleId="FootnoteReference">
    <w:name w:val="footnote reference"/>
    <w:basedOn w:val="DefaultParagraphFont"/>
    <w:uiPriority w:val="99"/>
    <w:semiHidden/>
    <w:unhideWhenUsed/>
    <w:rsid w:val="007F6754"/>
    <w:rPr>
      <w:vertAlign w:val="superscript"/>
    </w:r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7F6754"/>
    <w:rPr>
      <w:rFonts w:asciiTheme="minorHAnsi" w:hAnsiTheme="minorHAnsi"/>
      <w:sz w:val="22"/>
      <w:szCs w:val="22"/>
      <w:lang w:val="uk-UA"/>
    </w:rPr>
  </w:style>
  <w:style w:type="character" w:styleId="UnresolvedMention">
    <w:name w:val="Unresolved Mention"/>
    <w:basedOn w:val="DefaultParagraphFont"/>
    <w:uiPriority w:val="99"/>
    <w:semiHidden/>
    <w:unhideWhenUsed/>
    <w:rsid w:val="00AD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4331">
      <w:bodyDiv w:val="1"/>
      <w:marLeft w:val="0"/>
      <w:marRight w:val="0"/>
      <w:marTop w:val="0"/>
      <w:marBottom w:val="0"/>
      <w:divBdr>
        <w:top w:val="none" w:sz="0" w:space="0" w:color="auto"/>
        <w:left w:val="none" w:sz="0" w:space="0" w:color="auto"/>
        <w:bottom w:val="none" w:sz="0" w:space="0" w:color="auto"/>
        <w:right w:val="none" w:sz="0" w:space="0" w:color="auto"/>
      </w:divBdr>
    </w:div>
    <w:div w:id="849755822">
      <w:bodyDiv w:val="1"/>
      <w:marLeft w:val="0"/>
      <w:marRight w:val="0"/>
      <w:marTop w:val="0"/>
      <w:marBottom w:val="0"/>
      <w:divBdr>
        <w:top w:val="none" w:sz="0" w:space="0" w:color="auto"/>
        <w:left w:val="none" w:sz="0" w:space="0" w:color="auto"/>
        <w:bottom w:val="none" w:sz="0" w:space="0" w:color="auto"/>
        <w:right w:val="none" w:sz="0" w:space="0" w:color="auto"/>
      </w:divBdr>
    </w:div>
    <w:div w:id="887573793">
      <w:bodyDiv w:val="1"/>
      <w:marLeft w:val="0"/>
      <w:marRight w:val="0"/>
      <w:marTop w:val="0"/>
      <w:marBottom w:val="0"/>
      <w:divBdr>
        <w:top w:val="none" w:sz="0" w:space="0" w:color="auto"/>
        <w:left w:val="none" w:sz="0" w:space="0" w:color="auto"/>
        <w:bottom w:val="none" w:sz="0" w:space="0" w:color="auto"/>
        <w:right w:val="none" w:sz="0" w:space="0" w:color="auto"/>
      </w:divBdr>
    </w:div>
    <w:div w:id="971984367">
      <w:bodyDiv w:val="1"/>
      <w:marLeft w:val="0"/>
      <w:marRight w:val="0"/>
      <w:marTop w:val="0"/>
      <w:marBottom w:val="0"/>
      <w:divBdr>
        <w:top w:val="none" w:sz="0" w:space="0" w:color="auto"/>
        <w:left w:val="none" w:sz="0" w:space="0" w:color="auto"/>
        <w:bottom w:val="none" w:sz="0" w:space="0" w:color="auto"/>
        <w:right w:val="none" w:sz="0" w:space="0" w:color="auto"/>
      </w:divBdr>
    </w:div>
    <w:div w:id="1166672176">
      <w:bodyDiv w:val="1"/>
      <w:marLeft w:val="0"/>
      <w:marRight w:val="0"/>
      <w:marTop w:val="0"/>
      <w:marBottom w:val="0"/>
      <w:divBdr>
        <w:top w:val="none" w:sz="0" w:space="0" w:color="auto"/>
        <w:left w:val="none" w:sz="0" w:space="0" w:color="auto"/>
        <w:bottom w:val="none" w:sz="0" w:space="0" w:color="auto"/>
        <w:right w:val="none" w:sz="0" w:space="0" w:color="auto"/>
      </w:divBdr>
    </w:div>
    <w:div w:id="1191409499">
      <w:bodyDiv w:val="1"/>
      <w:marLeft w:val="0"/>
      <w:marRight w:val="0"/>
      <w:marTop w:val="0"/>
      <w:marBottom w:val="0"/>
      <w:divBdr>
        <w:top w:val="none" w:sz="0" w:space="0" w:color="auto"/>
        <w:left w:val="none" w:sz="0" w:space="0" w:color="auto"/>
        <w:bottom w:val="none" w:sz="0" w:space="0" w:color="auto"/>
        <w:right w:val="none" w:sz="0" w:space="0" w:color="auto"/>
      </w:divBdr>
    </w:div>
    <w:div w:id="1262564473">
      <w:bodyDiv w:val="1"/>
      <w:marLeft w:val="0"/>
      <w:marRight w:val="0"/>
      <w:marTop w:val="0"/>
      <w:marBottom w:val="0"/>
      <w:divBdr>
        <w:top w:val="none" w:sz="0" w:space="0" w:color="auto"/>
        <w:left w:val="none" w:sz="0" w:space="0" w:color="auto"/>
        <w:bottom w:val="none" w:sz="0" w:space="0" w:color="auto"/>
        <w:right w:val="none" w:sz="0" w:space="0" w:color="auto"/>
      </w:divBdr>
    </w:div>
    <w:div w:id="1352417830">
      <w:bodyDiv w:val="1"/>
      <w:marLeft w:val="0"/>
      <w:marRight w:val="0"/>
      <w:marTop w:val="0"/>
      <w:marBottom w:val="0"/>
      <w:divBdr>
        <w:top w:val="none" w:sz="0" w:space="0" w:color="auto"/>
        <w:left w:val="none" w:sz="0" w:space="0" w:color="auto"/>
        <w:bottom w:val="none" w:sz="0" w:space="0" w:color="auto"/>
        <w:right w:val="none" w:sz="0" w:space="0" w:color="auto"/>
      </w:divBdr>
    </w:div>
    <w:div w:id="1470710558">
      <w:bodyDiv w:val="1"/>
      <w:marLeft w:val="0"/>
      <w:marRight w:val="0"/>
      <w:marTop w:val="0"/>
      <w:marBottom w:val="0"/>
      <w:divBdr>
        <w:top w:val="none" w:sz="0" w:space="0" w:color="auto"/>
        <w:left w:val="none" w:sz="0" w:space="0" w:color="auto"/>
        <w:bottom w:val="none" w:sz="0" w:space="0" w:color="auto"/>
        <w:right w:val="none" w:sz="0" w:space="0" w:color="auto"/>
      </w:divBdr>
    </w:div>
    <w:div w:id="1522743853">
      <w:bodyDiv w:val="1"/>
      <w:marLeft w:val="0"/>
      <w:marRight w:val="0"/>
      <w:marTop w:val="0"/>
      <w:marBottom w:val="0"/>
      <w:divBdr>
        <w:top w:val="none" w:sz="0" w:space="0" w:color="auto"/>
        <w:left w:val="none" w:sz="0" w:space="0" w:color="auto"/>
        <w:bottom w:val="none" w:sz="0" w:space="0" w:color="auto"/>
        <w:right w:val="none" w:sz="0" w:space="0" w:color="auto"/>
      </w:divBdr>
    </w:div>
    <w:div w:id="1530485019">
      <w:bodyDiv w:val="1"/>
      <w:marLeft w:val="0"/>
      <w:marRight w:val="0"/>
      <w:marTop w:val="0"/>
      <w:marBottom w:val="0"/>
      <w:divBdr>
        <w:top w:val="none" w:sz="0" w:space="0" w:color="auto"/>
        <w:left w:val="none" w:sz="0" w:space="0" w:color="auto"/>
        <w:bottom w:val="none" w:sz="0" w:space="0" w:color="auto"/>
        <w:right w:val="none" w:sz="0" w:space="0" w:color="auto"/>
      </w:divBdr>
    </w:div>
    <w:div w:id="1588541596">
      <w:bodyDiv w:val="1"/>
      <w:marLeft w:val="0"/>
      <w:marRight w:val="0"/>
      <w:marTop w:val="0"/>
      <w:marBottom w:val="0"/>
      <w:divBdr>
        <w:top w:val="none" w:sz="0" w:space="0" w:color="auto"/>
        <w:left w:val="none" w:sz="0" w:space="0" w:color="auto"/>
        <w:bottom w:val="none" w:sz="0" w:space="0" w:color="auto"/>
        <w:right w:val="none" w:sz="0" w:space="0" w:color="auto"/>
      </w:divBdr>
    </w:div>
    <w:div w:id="1630739246">
      <w:bodyDiv w:val="1"/>
      <w:marLeft w:val="0"/>
      <w:marRight w:val="0"/>
      <w:marTop w:val="0"/>
      <w:marBottom w:val="0"/>
      <w:divBdr>
        <w:top w:val="none" w:sz="0" w:space="0" w:color="auto"/>
        <w:left w:val="none" w:sz="0" w:space="0" w:color="auto"/>
        <w:bottom w:val="none" w:sz="0" w:space="0" w:color="auto"/>
        <w:right w:val="none" w:sz="0" w:space="0" w:color="auto"/>
      </w:divBdr>
    </w:div>
    <w:div w:id="20173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3" Type="http://schemas.openxmlformats.org/officeDocument/2006/relationships/settings" Target="settings.xml"/><Relationship Id="rId7" Type="http://schemas.openxmlformats.org/officeDocument/2006/relationships/hyperlink" Target="mailto:euaci@um.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mg.um.dk/bilateral-cooperation/guidelines-for-programmes-projects-country-strategic-frameworks-and-hard-earmarked-multilat-support" TargetMode="External"/><Relationship Id="rId4" Type="http://schemas.openxmlformats.org/officeDocument/2006/relationships/webSettings" Target="webSettings.xml"/><Relationship Id="rId9" Type="http://schemas.openxmlformats.org/officeDocument/2006/relationships/hyperlink" Target="mailto:euaci@um.d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mg.um.dk/bilateral-cooperation/financial-managemen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1286</Words>
  <Characters>7334</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Golota</dc:creator>
  <cp:keywords/>
  <dc:description/>
  <cp:lastModifiedBy>Sofiia Golota</cp:lastModifiedBy>
  <cp:revision>21</cp:revision>
  <dcterms:created xsi:type="dcterms:W3CDTF">2025-12-09T08:09:00Z</dcterms:created>
  <dcterms:modified xsi:type="dcterms:W3CDTF">2026-01-21T13:05:00Z</dcterms:modified>
</cp:coreProperties>
</file>