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B26BC5" w:rsidRDefault="006F7AC1">
      <w:pPr>
        <w:spacing w:before="11"/>
        <w:rPr>
          <w:rFonts w:ascii="Verdana" w:eastAsia="Verdana" w:hAnsi="Verdana" w:cs="Verdana"/>
          <w:b/>
          <w:sz w:val="20"/>
          <w:szCs w:val="20"/>
        </w:rPr>
      </w:pPr>
    </w:p>
    <w:p w14:paraId="3276B1BE" w14:textId="77777777" w:rsidR="006F7AC1" w:rsidRPr="00B26BC5" w:rsidRDefault="00377607">
      <w:pPr>
        <w:ind w:left="100"/>
        <w:rPr>
          <w:rFonts w:ascii="Verdana" w:eastAsia="Verdana" w:hAnsi="Verdana" w:cs="Verdana"/>
          <w:sz w:val="20"/>
          <w:szCs w:val="20"/>
        </w:rPr>
      </w:pPr>
      <w:r w:rsidRPr="00B26BC5">
        <w:rPr>
          <w:rFonts w:ascii="Verdana" w:eastAsia="Verdana" w:hAnsi="Verdana" w:cs="Verdana"/>
          <w:sz w:val="20"/>
          <w:szCs w:val="20"/>
          <w:lang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6CB588" w14:textId="572F2965" w:rsidR="00F93308" w:rsidRPr="00B26BC5" w:rsidRDefault="00F93308">
      <w:pPr>
        <w:spacing w:before="8"/>
        <w:rPr>
          <w:rFonts w:ascii="Verdana" w:eastAsia="Verdana" w:hAnsi="Verdana" w:cs="Verdana"/>
          <w:b/>
          <w:sz w:val="20"/>
          <w:szCs w:val="20"/>
        </w:rPr>
      </w:pPr>
    </w:p>
    <w:p w14:paraId="4753E0B5" w14:textId="1C2F66FA" w:rsidR="00F93308" w:rsidRPr="00B26BC5" w:rsidRDefault="00F93308" w:rsidP="00F93308">
      <w:pPr>
        <w:spacing w:before="8"/>
        <w:jc w:val="right"/>
        <w:rPr>
          <w:rFonts w:ascii="Verdana" w:eastAsia="Verdana" w:hAnsi="Verdana" w:cs="Verdana"/>
          <w:b/>
          <w:sz w:val="20"/>
          <w:szCs w:val="20"/>
        </w:rPr>
      </w:pPr>
      <w:r w:rsidRPr="00B26BC5">
        <w:rPr>
          <w:rFonts w:ascii="Verdana" w:eastAsia="Verdana" w:hAnsi="Verdana" w:cs="Verdana"/>
          <w:bCs/>
          <w:sz w:val="20"/>
          <w:szCs w:val="20"/>
        </w:rPr>
        <w:t>Date</w:t>
      </w:r>
      <w:r w:rsidR="00933501" w:rsidRPr="00B26BC5">
        <w:rPr>
          <w:rFonts w:ascii="Verdana" w:eastAsia="Verdana" w:hAnsi="Verdana" w:cs="Verdana"/>
          <w:bCs/>
          <w:sz w:val="20"/>
          <w:szCs w:val="20"/>
        </w:rPr>
        <w:t>:</w:t>
      </w:r>
      <w:r w:rsidRPr="00B26BC5">
        <w:rPr>
          <w:rFonts w:ascii="Verdana" w:eastAsia="Verdana" w:hAnsi="Verdana" w:cs="Verdana"/>
          <w:b/>
          <w:sz w:val="20"/>
          <w:szCs w:val="20"/>
        </w:rPr>
        <w:t xml:space="preserve"> </w:t>
      </w:r>
      <w:r w:rsidR="002B2E8C" w:rsidRPr="00B26BC5">
        <w:rPr>
          <w:rFonts w:ascii="Verdana" w:eastAsia="Verdana" w:hAnsi="Verdana" w:cs="Verdana"/>
          <w:b/>
          <w:sz w:val="20"/>
          <w:szCs w:val="20"/>
        </w:rPr>
        <w:t>2</w:t>
      </w:r>
      <w:r w:rsidR="00A84E63">
        <w:rPr>
          <w:rFonts w:ascii="Verdana" w:eastAsia="Verdana" w:hAnsi="Verdana" w:cs="Verdana"/>
          <w:b/>
          <w:sz w:val="20"/>
          <w:szCs w:val="20"/>
        </w:rPr>
        <w:t>0</w:t>
      </w:r>
      <w:r w:rsidR="002B2E8C" w:rsidRPr="00B26BC5">
        <w:rPr>
          <w:rFonts w:ascii="Verdana" w:eastAsia="Verdana" w:hAnsi="Verdana" w:cs="Verdana"/>
          <w:b/>
          <w:sz w:val="20"/>
          <w:szCs w:val="20"/>
        </w:rPr>
        <w:t>.1</w:t>
      </w:r>
      <w:r w:rsidR="00A84E63">
        <w:rPr>
          <w:rFonts w:ascii="Verdana" w:eastAsia="Verdana" w:hAnsi="Verdana" w:cs="Verdana"/>
          <w:b/>
          <w:sz w:val="20"/>
          <w:szCs w:val="20"/>
        </w:rPr>
        <w:t>1</w:t>
      </w:r>
      <w:r w:rsidR="002B2E8C" w:rsidRPr="00B26BC5">
        <w:rPr>
          <w:rFonts w:ascii="Verdana" w:eastAsia="Verdana" w:hAnsi="Verdana" w:cs="Verdana"/>
          <w:b/>
          <w:sz w:val="20"/>
          <w:szCs w:val="20"/>
        </w:rPr>
        <w:t>.2025</w:t>
      </w:r>
    </w:p>
    <w:p w14:paraId="73A37BDB" w14:textId="77777777" w:rsidR="00F93308" w:rsidRPr="00B26BC5" w:rsidRDefault="00F93308">
      <w:pPr>
        <w:spacing w:before="8"/>
        <w:rPr>
          <w:rFonts w:ascii="Verdana" w:eastAsia="Verdana" w:hAnsi="Verdana" w:cs="Verdana"/>
          <w:b/>
          <w:sz w:val="20"/>
          <w:szCs w:val="20"/>
        </w:rPr>
      </w:pPr>
    </w:p>
    <w:p w14:paraId="6A8E0F34" w14:textId="77777777" w:rsidR="003C030F" w:rsidRPr="00B26BC5" w:rsidRDefault="00377607" w:rsidP="003C030F">
      <w:pPr>
        <w:jc w:val="center"/>
        <w:rPr>
          <w:rFonts w:ascii="Verdana" w:hAnsi="Verdana"/>
          <w:b/>
          <w:bCs/>
          <w:sz w:val="20"/>
          <w:szCs w:val="20"/>
        </w:rPr>
      </w:pPr>
      <w:r w:rsidRPr="00B26BC5">
        <w:rPr>
          <w:rFonts w:ascii="Verdana" w:hAnsi="Verdana"/>
          <w:b/>
          <w:bCs/>
          <w:sz w:val="20"/>
          <w:szCs w:val="20"/>
        </w:rPr>
        <w:t>TERMS OF REFERENCE</w:t>
      </w:r>
    </w:p>
    <w:p w14:paraId="66EA3938" w14:textId="77777777" w:rsidR="003C030F" w:rsidRPr="00B26BC5" w:rsidRDefault="003C030F" w:rsidP="003C030F">
      <w:pPr>
        <w:jc w:val="center"/>
        <w:rPr>
          <w:rFonts w:ascii="Verdana" w:hAnsi="Verdana"/>
          <w:b/>
          <w:bCs/>
          <w:sz w:val="20"/>
          <w:szCs w:val="20"/>
        </w:rPr>
      </w:pPr>
    </w:p>
    <w:p w14:paraId="44B5F94F" w14:textId="1406D3DD" w:rsidR="006F7AC1" w:rsidRPr="00B26BC5" w:rsidRDefault="002B2E8C" w:rsidP="002B2E8C">
      <w:pPr>
        <w:ind w:left="100"/>
        <w:jc w:val="center"/>
        <w:rPr>
          <w:rFonts w:ascii="Verdana" w:hAnsi="Verdana"/>
          <w:b/>
          <w:bCs/>
          <w:sz w:val="20"/>
          <w:szCs w:val="20"/>
        </w:rPr>
      </w:pPr>
      <w:bookmarkStart w:id="0" w:name="_Hlk212019439"/>
      <w:r w:rsidRPr="00B26BC5">
        <w:rPr>
          <w:rFonts w:ascii="Verdana" w:hAnsi="Verdana"/>
          <w:b/>
          <w:bCs/>
          <w:sz w:val="20"/>
          <w:szCs w:val="20"/>
        </w:rPr>
        <w:t xml:space="preserve">Adviser on International Relations for </w:t>
      </w:r>
      <w:r w:rsidR="00721A04" w:rsidRPr="00721A04">
        <w:rPr>
          <w:rFonts w:ascii="Verdana" w:hAnsi="Verdana"/>
          <w:b/>
          <w:bCs/>
          <w:sz w:val="20"/>
          <w:szCs w:val="20"/>
        </w:rPr>
        <w:t>the Specialised Anti-Corruption Prosecutor’s Office</w:t>
      </w:r>
    </w:p>
    <w:bookmarkEnd w:id="0"/>
    <w:p w14:paraId="38839B6E" w14:textId="77777777" w:rsidR="002B2E8C" w:rsidRPr="00B26BC5" w:rsidRDefault="002B2E8C" w:rsidP="002B2E8C">
      <w:pPr>
        <w:ind w:left="100"/>
        <w:jc w:val="center"/>
        <w:rPr>
          <w:rFonts w:ascii="Verdana" w:eastAsia="Verdana" w:hAnsi="Verdana" w:cs="Verdana"/>
          <w:b/>
          <w:sz w:val="20"/>
          <w:szCs w:val="20"/>
        </w:rPr>
      </w:pPr>
    </w:p>
    <w:p w14:paraId="142A144F" w14:textId="77777777" w:rsidR="006F7AC1" w:rsidRPr="00B26BC5" w:rsidRDefault="00377607" w:rsidP="00F93308">
      <w:pPr>
        <w:spacing w:line="276" w:lineRule="auto"/>
        <w:jc w:val="both"/>
        <w:rPr>
          <w:rFonts w:ascii="Verdana" w:eastAsia="Verdana" w:hAnsi="Verdana" w:cs="Verdana"/>
          <w:b/>
          <w:sz w:val="20"/>
          <w:szCs w:val="20"/>
        </w:rPr>
      </w:pPr>
      <w:r w:rsidRPr="00B26BC5">
        <w:rPr>
          <w:rFonts w:ascii="Verdana" w:eastAsia="Verdana" w:hAnsi="Verdana" w:cs="Verdana"/>
          <w:b/>
          <w:sz w:val="20"/>
          <w:szCs w:val="20"/>
        </w:rPr>
        <w:t>General background</w:t>
      </w:r>
    </w:p>
    <w:p w14:paraId="63E5EBF9" w14:textId="6388FEE8" w:rsidR="007E0008" w:rsidRPr="00B26BC5" w:rsidRDefault="00377607" w:rsidP="00F93308">
      <w:pPr>
        <w:shd w:val="clear" w:color="auto" w:fill="FFFFFF"/>
        <w:spacing w:before="120" w:after="120" w:line="276" w:lineRule="auto"/>
        <w:jc w:val="both"/>
        <w:rPr>
          <w:rFonts w:ascii="Verdana" w:eastAsia="Verdana" w:hAnsi="Verdana" w:cs="Verdana"/>
          <w:color w:val="000000" w:themeColor="text1"/>
          <w:sz w:val="20"/>
          <w:szCs w:val="20"/>
        </w:rPr>
      </w:pPr>
      <w:r w:rsidRPr="00B26BC5">
        <w:rPr>
          <w:rFonts w:ascii="Verdana" w:eastAsia="Verdana" w:hAnsi="Verdana" w:cs="Verdana"/>
          <w:color w:val="000000" w:themeColor="text1"/>
          <w:sz w:val="20"/>
          <w:szCs w:val="20"/>
        </w:rPr>
        <w:t xml:space="preserve">The </w:t>
      </w:r>
      <w:r w:rsidR="009A21CF" w:rsidRPr="00B26BC5">
        <w:rPr>
          <w:rFonts w:ascii="Verdana" w:eastAsia="Verdana" w:hAnsi="Verdana" w:cs="Verdana"/>
          <w:color w:val="000000" w:themeColor="text1"/>
          <w:sz w:val="20"/>
          <w:szCs w:val="20"/>
        </w:rPr>
        <w:t>EU Anti-Corruption Initiative in Ukraine (EUACI) is the European Union</w:t>
      </w:r>
      <w:r w:rsidR="008B2BC5" w:rsidRPr="00B26BC5">
        <w:rPr>
          <w:rFonts w:ascii="Verdana" w:eastAsia="Verdana" w:hAnsi="Verdana" w:cs="Verdana"/>
          <w:color w:val="000000" w:themeColor="text1"/>
          <w:sz w:val="20"/>
          <w:szCs w:val="20"/>
        </w:rPr>
        <w:t>’s</w:t>
      </w:r>
      <w:r w:rsidR="009A21CF" w:rsidRPr="00B26BC5">
        <w:rPr>
          <w:rFonts w:ascii="Verdana" w:eastAsia="Verdana" w:hAnsi="Verdana" w:cs="Verdana"/>
          <w:color w:val="000000" w:themeColor="text1"/>
          <w:sz w:val="20"/>
          <w:szCs w:val="20"/>
        </w:rPr>
        <w:t xml:space="preserve"> </w:t>
      </w:r>
      <w:r w:rsidR="008B2BC5" w:rsidRPr="00B26BC5">
        <w:rPr>
          <w:rFonts w:ascii="Verdana" w:eastAsia="Verdana" w:hAnsi="Verdana" w:cs="Verdana"/>
          <w:color w:val="000000" w:themeColor="text1"/>
          <w:sz w:val="20"/>
          <w:szCs w:val="20"/>
        </w:rPr>
        <w:t xml:space="preserve">technical </w:t>
      </w:r>
      <w:r w:rsidR="009A21CF" w:rsidRPr="00B26BC5">
        <w:rPr>
          <w:rFonts w:ascii="Verdana" w:eastAsia="Verdana" w:hAnsi="Verdana" w:cs="Verdana"/>
          <w:color w:val="000000" w:themeColor="text1"/>
          <w:sz w:val="20"/>
          <w:szCs w:val="20"/>
        </w:rPr>
        <w:t>support program in the area of anti-corruption in Ukraine, co-funded and implemented by the Ministry of Foreign Affairs in Denmark.</w:t>
      </w:r>
      <w:r w:rsidR="008B2BC5" w:rsidRPr="00B26BC5">
        <w:rPr>
          <w:rFonts w:ascii="Verdana" w:eastAsia="Verdana" w:hAnsi="Verdana" w:cs="Verdana"/>
          <w:color w:val="000000" w:themeColor="text1"/>
          <w:sz w:val="20"/>
          <w:szCs w:val="20"/>
        </w:rPr>
        <w:t xml:space="preserve"> </w:t>
      </w:r>
      <w:r w:rsidR="009A21CF" w:rsidRPr="00B26BC5">
        <w:rPr>
          <w:rFonts w:ascii="Verdana" w:eastAsia="Verdana" w:hAnsi="Verdana" w:cs="Verdana"/>
          <w:color w:val="000000" w:themeColor="text1"/>
          <w:sz w:val="20"/>
          <w:szCs w:val="20"/>
        </w:rPr>
        <w:t xml:space="preserve">The overall objective of </w:t>
      </w:r>
      <w:r w:rsidR="00840125" w:rsidRPr="00B26BC5">
        <w:rPr>
          <w:rFonts w:ascii="Verdana" w:eastAsia="Verdana" w:hAnsi="Verdana" w:cs="Verdana"/>
          <w:color w:val="000000" w:themeColor="text1"/>
          <w:sz w:val="20"/>
          <w:szCs w:val="20"/>
        </w:rPr>
        <w:t xml:space="preserve">the </w:t>
      </w:r>
      <w:r w:rsidR="009A21CF" w:rsidRPr="00B26BC5">
        <w:rPr>
          <w:rFonts w:ascii="Verdana" w:eastAsia="Verdana" w:hAnsi="Verdana" w:cs="Verdana"/>
          <w:color w:val="000000" w:themeColor="text1"/>
          <w:sz w:val="20"/>
          <w:szCs w:val="20"/>
        </w:rPr>
        <w:t xml:space="preserve">EUACI is </w:t>
      </w:r>
      <w:r w:rsidR="007E0008" w:rsidRPr="00B26BC5">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1FB87060" w14:textId="052445F9" w:rsidR="00B26BC5" w:rsidRPr="00B26BC5" w:rsidRDefault="00B26BC5" w:rsidP="00B26BC5">
      <w:pPr>
        <w:pStyle w:val="Heading1"/>
        <w:spacing w:before="120" w:after="120" w:line="276" w:lineRule="auto"/>
        <w:ind w:left="0"/>
        <w:jc w:val="both"/>
        <w:rPr>
          <w:rFonts w:cs="Verdana"/>
          <w:b w:val="0"/>
          <w:bCs w:val="0"/>
          <w:color w:val="000000" w:themeColor="text1"/>
          <w:sz w:val="20"/>
          <w:szCs w:val="20"/>
        </w:rPr>
      </w:pPr>
      <w:r w:rsidRPr="00B26BC5">
        <w:rPr>
          <w:rFonts w:cs="Verdana"/>
          <w:b w:val="0"/>
          <w:bCs w:val="0"/>
          <w:color w:val="000000" w:themeColor="text1"/>
          <w:sz w:val="20"/>
          <w:szCs w:val="20"/>
        </w:rPr>
        <w:t xml:space="preserve">One of the key beneficiaries of the EUACI </w:t>
      </w:r>
      <w:bookmarkStart w:id="1" w:name="_Hlk212031387"/>
      <w:r w:rsidRPr="00B26BC5">
        <w:rPr>
          <w:rFonts w:cs="Verdana"/>
          <w:b w:val="0"/>
          <w:bCs w:val="0"/>
          <w:color w:val="000000" w:themeColor="text1"/>
          <w:sz w:val="20"/>
          <w:szCs w:val="20"/>
        </w:rPr>
        <w:t>is the Specialised Anti-Corruption Prosecutor’s Office (SAPO)</w:t>
      </w:r>
      <w:bookmarkEnd w:id="1"/>
      <w:r w:rsidRPr="00B26BC5">
        <w:rPr>
          <w:rFonts w:cs="Verdana"/>
          <w:b w:val="0"/>
          <w:bCs w:val="0"/>
          <w:color w:val="000000" w:themeColor="text1"/>
          <w:sz w:val="20"/>
          <w:szCs w:val="20"/>
        </w:rPr>
        <w:t xml:space="preserve">. Established in 2015, SAPO is a prosecutorial agency with a primary mandate to prosecute high-level corruption, including criminal offences committed by senior public officials and cases affecting national security. In March 2024, SAPO was reorganised into an independent prosecutorial body with the status of a legal entity under public law. This reform granted SAPO institutional autonomy and created the organisational and legal conditions for further development. </w:t>
      </w:r>
      <w:r w:rsidR="00D60BB9" w:rsidRPr="00B26BC5">
        <w:rPr>
          <w:rFonts w:cs="Verdana"/>
          <w:b w:val="0"/>
          <w:bCs w:val="0"/>
          <w:color w:val="000000" w:themeColor="text1"/>
          <w:sz w:val="20"/>
          <w:szCs w:val="20"/>
        </w:rPr>
        <w:t xml:space="preserve">SAPO </w:t>
      </w:r>
      <w:r w:rsidR="00D60BB9">
        <w:rPr>
          <w:rFonts w:cs="Verdana"/>
          <w:b w:val="0"/>
          <w:bCs w:val="0"/>
          <w:color w:val="000000" w:themeColor="text1"/>
          <w:sz w:val="20"/>
          <w:szCs w:val="20"/>
        </w:rPr>
        <w:t>identified t</w:t>
      </w:r>
      <w:r w:rsidRPr="00B26BC5">
        <w:rPr>
          <w:rFonts w:cs="Verdana"/>
          <w:b w:val="0"/>
          <w:bCs w:val="0"/>
          <w:color w:val="000000" w:themeColor="text1"/>
          <w:sz w:val="20"/>
          <w:szCs w:val="20"/>
        </w:rPr>
        <w:t>he enhancement of international cooperation as one of strategic priorities in its new institutional status.</w:t>
      </w:r>
    </w:p>
    <w:p w14:paraId="1F9D8F5D" w14:textId="5B9D1981" w:rsidR="00B26BC5" w:rsidRPr="00B26BC5" w:rsidRDefault="00B26BC5" w:rsidP="00B26BC5">
      <w:pPr>
        <w:pStyle w:val="Heading1"/>
        <w:spacing w:before="120" w:after="120" w:line="276" w:lineRule="auto"/>
        <w:ind w:left="0"/>
        <w:jc w:val="both"/>
        <w:rPr>
          <w:rFonts w:cs="Verdana"/>
          <w:b w:val="0"/>
          <w:bCs w:val="0"/>
          <w:color w:val="000000" w:themeColor="text1"/>
          <w:sz w:val="20"/>
          <w:szCs w:val="20"/>
        </w:rPr>
      </w:pPr>
      <w:r w:rsidRPr="00B26BC5">
        <w:rPr>
          <w:rFonts w:cs="Verdana"/>
          <w:b w:val="0"/>
          <w:bCs w:val="0"/>
          <w:color w:val="000000" w:themeColor="text1"/>
          <w:sz w:val="20"/>
          <w:szCs w:val="20"/>
        </w:rPr>
        <w:t xml:space="preserve">During 2024 and 2025, with technical assistance and expert </w:t>
      </w:r>
      <w:r w:rsidR="00D60BB9">
        <w:rPr>
          <w:rFonts w:cs="Verdana"/>
          <w:b w:val="0"/>
          <w:bCs w:val="0"/>
          <w:color w:val="000000" w:themeColor="text1"/>
          <w:sz w:val="20"/>
          <w:szCs w:val="20"/>
        </w:rPr>
        <w:t>support</w:t>
      </w:r>
      <w:r w:rsidR="00D60BB9" w:rsidRPr="00B26BC5">
        <w:rPr>
          <w:rFonts w:cs="Verdana"/>
          <w:b w:val="0"/>
          <w:bCs w:val="0"/>
          <w:color w:val="000000" w:themeColor="text1"/>
          <w:sz w:val="20"/>
          <w:szCs w:val="20"/>
        </w:rPr>
        <w:t xml:space="preserve"> </w:t>
      </w:r>
      <w:r w:rsidRPr="00B26BC5">
        <w:rPr>
          <w:rFonts w:cs="Verdana"/>
          <w:b w:val="0"/>
          <w:bCs w:val="0"/>
          <w:color w:val="000000" w:themeColor="text1"/>
          <w:sz w:val="20"/>
          <w:szCs w:val="20"/>
        </w:rPr>
        <w:t xml:space="preserve">from the EUACI, SAPO actively developed collaborations with international partners. Numerous official and working-level meetings were organised in Ukraine and abroad, involving SAPO representatives at various levels and leading international institutions, including the European Public Prosecutor’s Office (EPPO), the United Nations Office on Drugs and Crime (UNODC), the Stolen Asset Recovery Initiative (StAR), the International Monetary Fund (IMF), the World Bank Group, the Organisation for Economic Co-operation and Development (OECD), the German Foundation for International Legal Cooperation (IRZ), the Centre for Strategic and International Studies (CSIS, United States), and </w:t>
      </w:r>
      <w:r>
        <w:rPr>
          <w:rFonts w:cs="Verdana"/>
          <w:b w:val="0"/>
          <w:bCs w:val="0"/>
          <w:color w:val="000000" w:themeColor="text1"/>
          <w:sz w:val="20"/>
          <w:szCs w:val="20"/>
        </w:rPr>
        <w:t>others.</w:t>
      </w:r>
    </w:p>
    <w:p w14:paraId="327F7E12" w14:textId="289E5FCE" w:rsidR="00B26BC5" w:rsidRPr="00B26BC5" w:rsidRDefault="00B26BC5" w:rsidP="00B26BC5">
      <w:pPr>
        <w:pStyle w:val="Heading1"/>
        <w:spacing w:before="120" w:after="120" w:line="276" w:lineRule="auto"/>
        <w:ind w:left="0"/>
        <w:jc w:val="both"/>
        <w:rPr>
          <w:rFonts w:cs="Verdana"/>
          <w:b w:val="0"/>
          <w:bCs w:val="0"/>
          <w:color w:val="000000" w:themeColor="text1"/>
          <w:sz w:val="20"/>
          <w:szCs w:val="20"/>
        </w:rPr>
      </w:pPr>
      <w:r w:rsidRPr="00B26BC5">
        <w:rPr>
          <w:rFonts w:cs="Verdana"/>
          <w:b w:val="0"/>
          <w:bCs w:val="0"/>
          <w:color w:val="000000" w:themeColor="text1"/>
          <w:sz w:val="20"/>
          <w:szCs w:val="20"/>
        </w:rPr>
        <w:t>New working channels for information exchange were established with a wide range of partners in EU Member States, including Poland, Romania, Croatia, France, Spain, and Germany, thereby strengthening coordination on international cooperation and improving responsiveness in cross-border cases. A key milestone in this process was the signing of a Memorandum of Cooperation between SAPO and the European Public Prosecutor’s Office (EPPO) in October 2025, marking an important step towards closer institutional collaboration at the European level.</w:t>
      </w:r>
    </w:p>
    <w:p w14:paraId="4753E851" w14:textId="77777777" w:rsidR="00B26BC5" w:rsidRDefault="00B26BC5" w:rsidP="00B26BC5">
      <w:pPr>
        <w:pStyle w:val="Heading1"/>
        <w:spacing w:before="120" w:after="120" w:line="276" w:lineRule="auto"/>
        <w:ind w:left="0"/>
        <w:jc w:val="both"/>
        <w:rPr>
          <w:rFonts w:cs="Verdana"/>
          <w:b w:val="0"/>
          <w:bCs w:val="0"/>
          <w:color w:val="000000" w:themeColor="text1"/>
          <w:sz w:val="20"/>
          <w:szCs w:val="20"/>
        </w:rPr>
      </w:pPr>
      <w:r w:rsidRPr="00B26BC5">
        <w:rPr>
          <w:rFonts w:cs="Verdana"/>
          <w:b w:val="0"/>
          <w:bCs w:val="0"/>
          <w:color w:val="000000" w:themeColor="text1"/>
          <w:sz w:val="20"/>
          <w:szCs w:val="20"/>
        </w:rPr>
        <w:t xml:space="preserve">To consolidate these achievements and further strengthen SAPO’s international partnerships, the EUACI will continue its efforts to reinforce SAPO’s institutional capacity in international </w:t>
      </w:r>
      <w:r w:rsidRPr="00B26BC5">
        <w:rPr>
          <w:rFonts w:cs="Verdana"/>
          <w:b w:val="0"/>
          <w:bCs w:val="0"/>
          <w:color w:val="000000" w:themeColor="text1"/>
          <w:sz w:val="20"/>
          <w:szCs w:val="20"/>
        </w:rPr>
        <w:lastRenderedPageBreak/>
        <w:t>cooperation. This will include the provision of expert advisory support to SAPO’s leadership and newly appointed staff, ensuring the sustainable development of international engagement in line with SAPO’s strategic objectives and operational priorities.</w:t>
      </w:r>
    </w:p>
    <w:p w14:paraId="5EAEC6F8" w14:textId="070AE084" w:rsidR="006449BD" w:rsidRPr="00B26BC5" w:rsidRDefault="00377607" w:rsidP="00B26BC5">
      <w:pPr>
        <w:pStyle w:val="Heading1"/>
        <w:spacing w:before="120" w:after="120" w:line="276" w:lineRule="auto"/>
        <w:ind w:left="0"/>
        <w:jc w:val="both"/>
        <w:rPr>
          <w:sz w:val="20"/>
          <w:szCs w:val="20"/>
        </w:rPr>
      </w:pPr>
      <w:r w:rsidRPr="00B26BC5">
        <w:rPr>
          <w:sz w:val="20"/>
          <w:szCs w:val="20"/>
        </w:rPr>
        <w:t>Objective</w:t>
      </w:r>
    </w:p>
    <w:p w14:paraId="79582289" w14:textId="34E83E9C" w:rsidR="007E0008" w:rsidRPr="00B26BC5" w:rsidRDefault="000951FA" w:rsidP="00F93308">
      <w:pPr>
        <w:spacing w:before="120" w:after="120" w:line="276" w:lineRule="auto"/>
        <w:jc w:val="both"/>
        <w:rPr>
          <w:rFonts w:ascii="Verdana" w:hAnsi="Verdana"/>
          <w:sz w:val="20"/>
          <w:szCs w:val="20"/>
        </w:rPr>
      </w:pPr>
      <w:r w:rsidRPr="00B26BC5">
        <w:rPr>
          <w:rFonts w:ascii="Verdana" w:hAnsi="Verdana"/>
          <w:sz w:val="20"/>
          <w:szCs w:val="20"/>
        </w:rPr>
        <w:t>The objective of this activity is to enhance SAPO’s institutional effectiveness and capacity to perform according to its mandatethrough strengthened international cooperation.</w:t>
      </w:r>
    </w:p>
    <w:p w14:paraId="68C71C0F" w14:textId="510CAD24" w:rsidR="006F7AC1" w:rsidRPr="00B26BC5" w:rsidRDefault="00377607" w:rsidP="00F93308">
      <w:pPr>
        <w:pStyle w:val="Heading1"/>
        <w:spacing w:before="120" w:after="120" w:line="276" w:lineRule="auto"/>
        <w:ind w:left="0"/>
        <w:jc w:val="both"/>
        <w:rPr>
          <w:bCs w:val="0"/>
          <w:sz w:val="20"/>
          <w:szCs w:val="20"/>
        </w:rPr>
      </w:pPr>
      <w:r w:rsidRPr="00B26BC5">
        <w:rPr>
          <w:bCs w:val="0"/>
          <w:sz w:val="20"/>
          <w:szCs w:val="20"/>
        </w:rPr>
        <w:t>Scope of work</w:t>
      </w:r>
    </w:p>
    <w:p w14:paraId="683C6E17" w14:textId="30B1E054" w:rsidR="001D743F" w:rsidRDefault="00446B25" w:rsidP="00933501">
      <w:pPr>
        <w:pStyle w:val="Heading1"/>
        <w:ind w:left="0"/>
        <w:rPr>
          <w:b w:val="0"/>
          <w:bCs w:val="0"/>
          <w:sz w:val="20"/>
          <w:szCs w:val="20"/>
        </w:rPr>
      </w:pPr>
      <w:r w:rsidRPr="00B26BC5">
        <w:rPr>
          <w:b w:val="0"/>
          <w:bCs w:val="0"/>
          <w:sz w:val="20"/>
          <w:szCs w:val="20"/>
        </w:rPr>
        <w:t xml:space="preserve">The scope of work of </w:t>
      </w:r>
      <w:r w:rsidR="00D60BB9">
        <w:rPr>
          <w:b w:val="0"/>
          <w:bCs w:val="0"/>
          <w:sz w:val="20"/>
          <w:szCs w:val="20"/>
        </w:rPr>
        <w:t xml:space="preserve">SAPO’s International Adviser will </w:t>
      </w:r>
      <w:r w:rsidRPr="00B26BC5">
        <w:rPr>
          <w:b w:val="0"/>
          <w:bCs w:val="0"/>
          <w:sz w:val="20"/>
          <w:szCs w:val="20"/>
        </w:rPr>
        <w:t>include, the following:</w:t>
      </w:r>
    </w:p>
    <w:p w14:paraId="100DAE64" w14:textId="77777777" w:rsidR="00DE3844" w:rsidRPr="00B26BC5" w:rsidRDefault="00DE3844" w:rsidP="00933501">
      <w:pPr>
        <w:pStyle w:val="Heading1"/>
        <w:ind w:left="0"/>
        <w:rPr>
          <w:b w:val="0"/>
          <w:bCs w:val="0"/>
          <w:sz w:val="20"/>
          <w:szCs w:val="20"/>
        </w:rPr>
      </w:pPr>
    </w:p>
    <w:p w14:paraId="4F011AFB" w14:textId="24A7C83A" w:rsidR="00DE3844" w:rsidRPr="00DE3844" w:rsidRDefault="00933501" w:rsidP="00DE3844">
      <w:pPr>
        <w:pStyle w:val="Heading1"/>
        <w:numPr>
          <w:ilvl w:val="0"/>
          <w:numId w:val="32"/>
        </w:numPr>
        <w:spacing w:before="120" w:after="120" w:line="276" w:lineRule="auto"/>
        <w:jc w:val="both"/>
        <w:rPr>
          <w:b w:val="0"/>
          <w:sz w:val="20"/>
          <w:szCs w:val="20"/>
        </w:rPr>
      </w:pPr>
      <w:r w:rsidRPr="00B26BC5">
        <w:rPr>
          <w:b w:val="0"/>
          <w:sz w:val="20"/>
          <w:szCs w:val="20"/>
        </w:rPr>
        <w:t>Establishing, maintaining, and developing partnerships between SAPO and international stakeholders, including embassies, foreign representations, intergovernmental organisations, law enforcement and prosecutorial bodies of EU Member States and other countries, as well as international technical assistance projects</w:t>
      </w:r>
      <w:r w:rsidR="00DE3844">
        <w:rPr>
          <w:b w:val="0"/>
          <w:sz w:val="20"/>
          <w:szCs w:val="20"/>
        </w:rPr>
        <w:t>;</w:t>
      </w:r>
    </w:p>
    <w:p w14:paraId="7D017DCD" w14:textId="2913F33E" w:rsidR="00DE3844" w:rsidRPr="00DE3844" w:rsidRDefault="00D047CC" w:rsidP="00DE3844">
      <w:pPr>
        <w:widowControl/>
        <w:numPr>
          <w:ilvl w:val="0"/>
          <w:numId w:val="32"/>
        </w:numPr>
        <w:spacing w:before="120" w:after="120" w:line="276" w:lineRule="auto"/>
        <w:jc w:val="both"/>
        <w:rPr>
          <w:rFonts w:ascii="Verdana" w:hAnsi="Verdana"/>
          <w:bCs/>
          <w:sz w:val="20"/>
          <w:szCs w:val="20"/>
        </w:rPr>
      </w:pPr>
      <w:r>
        <w:rPr>
          <w:rFonts w:ascii="Verdana" w:hAnsi="Verdana"/>
          <w:bCs/>
          <w:sz w:val="20"/>
          <w:szCs w:val="20"/>
        </w:rPr>
        <w:t>I</w:t>
      </w:r>
      <w:r w:rsidR="00DE3844" w:rsidRPr="00802A3B">
        <w:rPr>
          <w:rFonts w:ascii="Verdana" w:hAnsi="Verdana"/>
          <w:bCs/>
          <w:sz w:val="20"/>
          <w:szCs w:val="20"/>
        </w:rPr>
        <w:t>nitiate discussions with the Austrian Anti-Corruption Prosecutor’s Office on structuring inter-institutional relations (data exchange, mutual legal assistance coordination, confiscation, and asset recovery)</w:t>
      </w:r>
      <w:r w:rsidR="00DE3844">
        <w:rPr>
          <w:rFonts w:ascii="Verdana" w:hAnsi="Verdana"/>
          <w:bCs/>
          <w:sz w:val="20"/>
          <w:szCs w:val="20"/>
        </w:rPr>
        <w:t>;</w:t>
      </w:r>
    </w:p>
    <w:p w14:paraId="0696D719" w14:textId="3EBAC267" w:rsidR="00446B25" w:rsidRPr="00B26BC5" w:rsidRDefault="00446B25" w:rsidP="00446B25">
      <w:pPr>
        <w:pStyle w:val="ListParagraph"/>
        <w:numPr>
          <w:ilvl w:val="0"/>
          <w:numId w:val="32"/>
        </w:numPr>
        <w:spacing w:before="120" w:after="120" w:line="276" w:lineRule="auto"/>
        <w:jc w:val="both"/>
        <w:rPr>
          <w:rFonts w:ascii="Verdana" w:hAnsi="Verdana" w:cs="Times New Roman"/>
          <w:sz w:val="20"/>
          <w:szCs w:val="20"/>
        </w:rPr>
      </w:pPr>
      <w:r w:rsidRPr="00B26BC5">
        <w:rPr>
          <w:rFonts w:ascii="Verdana" w:hAnsi="Verdana" w:cs="Times New Roman"/>
          <w:sz w:val="20"/>
          <w:szCs w:val="20"/>
        </w:rPr>
        <w:t xml:space="preserve">Providing specialised advice to the Head of SAPO on maintaining the achieved level </w:t>
      </w:r>
      <w:r w:rsidR="00440600">
        <w:rPr>
          <w:rFonts w:ascii="Verdana" w:hAnsi="Verdana" w:cs="Times New Roman"/>
          <w:sz w:val="20"/>
          <w:szCs w:val="20"/>
        </w:rPr>
        <w:t xml:space="preserve">of international cooperation </w:t>
      </w:r>
      <w:r w:rsidRPr="00B26BC5">
        <w:rPr>
          <w:rFonts w:ascii="Verdana" w:hAnsi="Verdana" w:cs="Times New Roman"/>
          <w:sz w:val="20"/>
          <w:szCs w:val="20"/>
        </w:rPr>
        <w:t>and further developing SAPO’s international cooperation;</w:t>
      </w:r>
    </w:p>
    <w:p w14:paraId="258091E7" w14:textId="5D00018B" w:rsidR="00446B25" w:rsidRPr="00B26BC5" w:rsidRDefault="00446B25" w:rsidP="00446B25">
      <w:pPr>
        <w:pStyle w:val="ListParagraph"/>
        <w:numPr>
          <w:ilvl w:val="0"/>
          <w:numId w:val="32"/>
        </w:numPr>
        <w:spacing w:before="120" w:after="120" w:line="276" w:lineRule="auto"/>
        <w:jc w:val="both"/>
        <w:rPr>
          <w:rFonts w:ascii="Verdana" w:hAnsi="Verdana" w:cs="Times New Roman"/>
          <w:sz w:val="20"/>
          <w:szCs w:val="20"/>
        </w:rPr>
      </w:pPr>
      <w:r w:rsidRPr="00B26BC5">
        <w:rPr>
          <w:rFonts w:ascii="Verdana" w:hAnsi="Verdana" w:cs="Times New Roman"/>
          <w:sz w:val="20"/>
          <w:szCs w:val="20"/>
        </w:rPr>
        <w:t>Supporting and providing expert accompaniment for the Head of SAPO, and, as delegated, other SAPO staff, during international visits, negotiations, roundtables, and other events in Ukraine and abroad;</w:t>
      </w:r>
    </w:p>
    <w:p w14:paraId="10595773" w14:textId="3B487A07" w:rsidR="00446B25" w:rsidRPr="00B26BC5" w:rsidRDefault="00446B25" w:rsidP="00446B25">
      <w:pPr>
        <w:pStyle w:val="ListParagraph"/>
        <w:numPr>
          <w:ilvl w:val="0"/>
          <w:numId w:val="32"/>
        </w:numPr>
        <w:spacing w:before="120" w:after="120" w:line="276" w:lineRule="auto"/>
        <w:jc w:val="both"/>
        <w:rPr>
          <w:rFonts w:ascii="Verdana" w:hAnsi="Verdana" w:cs="Times New Roman"/>
          <w:sz w:val="20"/>
          <w:szCs w:val="20"/>
        </w:rPr>
      </w:pPr>
      <w:r w:rsidRPr="00B26BC5">
        <w:rPr>
          <w:rFonts w:ascii="Verdana" w:hAnsi="Verdana" w:cs="Times New Roman"/>
          <w:sz w:val="20"/>
          <w:szCs w:val="20"/>
        </w:rPr>
        <w:t>Delivering expert support to SAPO</w:t>
      </w:r>
      <w:r w:rsidR="009D3312">
        <w:rPr>
          <w:rFonts w:ascii="Verdana" w:hAnsi="Verdana" w:cs="Times New Roman"/>
          <w:sz w:val="20"/>
          <w:szCs w:val="20"/>
        </w:rPr>
        <w:t xml:space="preserve"> staff </w:t>
      </w:r>
      <w:r w:rsidRPr="00B26BC5">
        <w:rPr>
          <w:rFonts w:ascii="Verdana" w:hAnsi="Verdana" w:cs="Times New Roman"/>
          <w:sz w:val="20"/>
          <w:szCs w:val="20"/>
        </w:rPr>
        <w:t>on matters of international legal cooperation, including engagement with foreign counterparts, international law enforcement structures, and professional networks;</w:t>
      </w:r>
    </w:p>
    <w:p w14:paraId="1AB9B253" w14:textId="6A233D88" w:rsidR="00446B25" w:rsidRPr="00B26BC5" w:rsidRDefault="00446B25" w:rsidP="00446B25">
      <w:pPr>
        <w:pStyle w:val="ListParagraph"/>
        <w:numPr>
          <w:ilvl w:val="0"/>
          <w:numId w:val="32"/>
        </w:numPr>
        <w:spacing w:before="120" w:after="120" w:line="276" w:lineRule="auto"/>
        <w:jc w:val="both"/>
        <w:rPr>
          <w:rFonts w:ascii="Verdana" w:hAnsi="Verdana" w:cs="Times New Roman"/>
          <w:sz w:val="20"/>
          <w:szCs w:val="20"/>
        </w:rPr>
      </w:pPr>
      <w:r w:rsidRPr="00B26BC5">
        <w:rPr>
          <w:rFonts w:ascii="Verdana" w:hAnsi="Verdana" w:cs="Times New Roman"/>
          <w:sz w:val="20"/>
          <w:szCs w:val="20"/>
        </w:rPr>
        <w:t xml:space="preserve">Providing mentoring support to the SAPO </w:t>
      </w:r>
      <w:r w:rsidR="00933501" w:rsidRPr="00B26BC5">
        <w:rPr>
          <w:rFonts w:ascii="Verdana" w:hAnsi="Verdana" w:cs="Times New Roman"/>
          <w:sz w:val="20"/>
          <w:szCs w:val="20"/>
        </w:rPr>
        <w:t xml:space="preserve">staff </w:t>
      </w:r>
      <w:r w:rsidRPr="00B26BC5">
        <w:rPr>
          <w:rFonts w:ascii="Verdana" w:hAnsi="Verdana" w:cs="Times New Roman"/>
          <w:sz w:val="20"/>
          <w:szCs w:val="20"/>
        </w:rPr>
        <w:t>responsible for international cooperation, when appointed through an open competition;</w:t>
      </w:r>
    </w:p>
    <w:p w14:paraId="0BB660ED" w14:textId="6A57A64E" w:rsidR="00446B25" w:rsidRPr="00B26BC5" w:rsidRDefault="00446B25" w:rsidP="00446B25">
      <w:pPr>
        <w:pStyle w:val="ListParagraph"/>
        <w:numPr>
          <w:ilvl w:val="0"/>
          <w:numId w:val="32"/>
        </w:numPr>
        <w:spacing w:before="120" w:after="120" w:line="276" w:lineRule="auto"/>
        <w:jc w:val="both"/>
        <w:rPr>
          <w:rFonts w:ascii="Verdana" w:hAnsi="Verdana" w:cs="Times New Roman"/>
          <w:sz w:val="20"/>
          <w:szCs w:val="20"/>
        </w:rPr>
      </w:pPr>
      <w:r w:rsidRPr="00B26BC5">
        <w:rPr>
          <w:rFonts w:ascii="Verdana" w:hAnsi="Verdana" w:cs="Times New Roman"/>
          <w:sz w:val="20"/>
          <w:szCs w:val="20"/>
        </w:rPr>
        <w:t>Performing other tasks within the scope of the project and as assigned by the Head of SAPO.</w:t>
      </w:r>
    </w:p>
    <w:p w14:paraId="1E14FD1F" w14:textId="28800634" w:rsidR="00565ED7" w:rsidRPr="00B26BC5" w:rsidRDefault="00446B25" w:rsidP="00446B25">
      <w:pPr>
        <w:spacing w:before="120" w:after="120" w:line="276" w:lineRule="auto"/>
        <w:jc w:val="both"/>
        <w:rPr>
          <w:rFonts w:ascii="Verdana" w:hAnsi="Verdana" w:cs="Times New Roman"/>
          <w:sz w:val="20"/>
          <w:szCs w:val="20"/>
        </w:rPr>
      </w:pPr>
      <w:r w:rsidRPr="00B26BC5">
        <w:rPr>
          <w:rFonts w:ascii="Verdana" w:hAnsi="Verdana" w:cs="Times New Roman"/>
          <w:sz w:val="20"/>
          <w:szCs w:val="20"/>
        </w:rPr>
        <w:t xml:space="preserve">The scope of work can be adjusted based on discussions between the Service Provider, EUACI and SAPO leadership if other </w:t>
      </w:r>
      <w:r w:rsidR="00B26BC5" w:rsidRPr="00B26BC5">
        <w:rPr>
          <w:rFonts w:ascii="Verdana" w:hAnsi="Verdana" w:cs="Times New Roman"/>
          <w:sz w:val="20"/>
          <w:szCs w:val="20"/>
        </w:rPr>
        <w:t>activities become</w:t>
      </w:r>
      <w:r w:rsidRPr="00B26BC5">
        <w:rPr>
          <w:rFonts w:ascii="Verdana" w:hAnsi="Verdana" w:cs="Times New Roman"/>
          <w:sz w:val="20"/>
          <w:szCs w:val="20"/>
        </w:rPr>
        <w:t xml:space="preserve"> more relevant to </w:t>
      </w:r>
      <w:r w:rsidR="00B26BC5" w:rsidRPr="00B26BC5">
        <w:rPr>
          <w:rFonts w:ascii="Verdana" w:hAnsi="Verdana" w:cs="Times New Roman"/>
          <w:sz w:val="20"/>
          <w:szCs w:val="20"/>
        </w:rPr>
        <w:t>achieving the</w:t>
      </w:r>
      <w:r w:rsidRPr="00B26BC5">
        <w:rPr>
          <w:rFonts w:ascii="Verdana" w:hAnsi="Verdana" w:cs="Times New Roman"/>
          <w:sz w:val="20"/>
          <w:szCs w:val="20"/>
        </w:rPr>
        <w:t xml:space="preserve"> objective.</w:t>
      </w:r>
    </w:p>
    <w:p w14:paraId="7A72AEB7" w14:textId="2D8C9714" w:rsidR="006F7AC1" w:rsidRPr="00B26BC5" w:rsidRDefault="00377607" w:rsidP="00E10964">
      <w:pPr>
        <w:spacing w:before="120" w:after="120"/>
        <w:jc w:val="both"/>
        <w:rPr>
          <w:rFonts w:ascii="Verdana" w:eastAsia="Verdana" w:hAnsi="Verdana" w:cs="Verdana"/>
          <w:b/>
          <w:sz w:val="20"/>
          <w:szCs w:val="20"/>
        </w:rPr>
      </w:pPr>
      <w:r w:rsidRPr="00B26BC5">
        <w:rPr>
          <w:rFonts w:ascii="Verdana" w:eastAsia="Verdana" w:hAnsi="Verdana" w:cs="Verdana"/>
          <w:b/>
          <w:sz w:val="20"/>
          <w:szCs w:val="20"/>
        </w:rPr>
        <w:t>Deliverables</w:t>
      </w:r>
    </w:p>
    <w:p w14:paraId="56A555D3" w14:textId="11A1AC56" w:rsidR="00565ED7" w:rsidRDefault="00565ED7" w:rsidP="00565ED7">
      <w:pPr>
        <w:pStyle w:val="ListParagraph"/>
        <w:numPr>
          <w:ilvl w:val="0"/>
          <w:numId w:val="36"/>
        </w:numPr>
        <w:spacing w:before="120" w:after="120" w:line="276" w:lineRule="auto"/>
        <w:jc w:val="both"/>
        <w:rPr>
          <w:rFonts w:ascii="Verdana" w:hAnsi="Verdana" w:cs="Times New Roman"/>
          <w:sz w:val="20"/>
          <w:szCs w:val="20"/>
        </w:rPr>
      </w:pPr>
      <w:r w:rsidRPr="00B26BC5">
        <w:rPr>
          <w:rFonts w:ascii="Verdana" w:hAnsi="Verdana" w:cs="Times New Roman"/>
          <w:sz w:val="20"/>
          <w:szCs w:val="20"/>
        </w:rPr>
        <w:t>Sustained and enhanced mechanisms of cooperation between SAPO and its international partners, including the deepening of existing partnerships and expansion of the institutional network engaged in cooperation with SAPO</w:t>
      </w:r>
      <w:r w:rsidR="00931653">
        <w:rPr>
          <w:rFonts w:ascii="Verdana" w:hAnsi="Verdana" w:cs="Times New Roman"/>
          <w:sz w:val="20"/>
          <w:szCs w:val="20"/>
        </w:rPr>
        <w:t>;</w:t>
      </w:r>
    </w:p>
    <w:p w14:paraId="1FDA65EF" w14:textId="2F2F64D5" w:rsidR="00565ED7" w:rsidRPr="00B26BC5" w:rsidRDefault="00565ED7" w:rsidP="00721A04">
      <w:pPr>
        <w:pStyle w:val="ListParagraph"/>
        <w:numPr>
          <w:ilvl w:val="0"/>
          <w:numId w:val="36"/>
        </w:numPr>
        <w:spacing w:before="120" w:after="120" w:line="276" w:lineRule="auto"/>
        <w:jc w:val="both"/>
        <w:rPr>
          <w:rFonts w:ascii="Verdana" w:hAnsi="Verdana" w:cs="Times New Roman"/>
          <w:sz w:val="20"/>
          <w:szCs w:val="20"/>
        </w:rPr>
      </w:pPr>
      <w:r w:rsidRPr="00B26BC5">
        <w:rPr>
          <w:rFonts w:ascii="Verdana" w:hAnsi="Verdana" w:cs="Times New Roman"/>
          <w:sz w:val="20"/>
          <w:szCs w:val="20"/>
        </w:rPr>
        <w:t>Strengthened SAPO visibility and standing in the international arena through expert and organisational support for high-level visits, bilateral and multilateral meetings</w:t>
      </w:r>
      <w:r w:rsidR="00D047CC">
        <w:rPr>
          <w:rFonts w:ascii="Verdana" w:hAnsi="Verdana" w:cs="Times New Roman"/>
          <w:sz w:val="20"/>
          <w:szCs w:val="20"/>
        </w:rPr>
        <w:t>;</w:t>
      </w:r>
    </w:p>
    <w:p w14:paraId="188532FB" w14:textId="434A3A68" w:rsidR="00565ED7" w:rsidRPr="00B26BC5" w:rsidRDefault="00565ED7" w:rsidP="00565ED7">
      <w:pPr>
        <w:pStyle w:val="ListParagraph"/>
        <w:numPr>
          <w:ilvl w:val="0"/>
          <w:numId w:val="36"/>
        </w:numPr>
        <w:spacing w:before="120" w:after="120" w:line="276" w:lineRule="auto"/>
        <w:jc w:val="both"/>
        <w:rPr>
          <w:rFonts w:ascii="Verdana" w:hAnsi="Verdana" w:cs="Times New Roman"/>
          <w:sz w:val="20"/>
          <w:szCs w:val="20"/>
        </w:rPr>
      </w:pPr>
      <w:r w:rsidRPr="00B26BC5">
        <w:rPr>
          <w:rFonts w:ascii="Verdana" w:hAnsi="Verdana" w:cs="Times New Roman"/>
          <w:sz w:val="20"/>
          <w:szCs w:val="20"/>
        </w:rPr>
        <w:t xml:space="preserve">Enhanced institutional capacity of SAPO in the field of international legal cooperation through expert advice and mentoring support for the designated </w:t>
      </w:r>
      <w:r w:rsidR="009D3312">
        <w:rPr>
          <w:rFonts w:ascii="Verdana" w:hAnsi="Verdana" w:cs="Times New Roman"/>
          <w:sz w:val="20"/>
          <w:szCs w:val="20"/>
        </w:rPr>
        <w:t>staff</w:t>
      </w:r>
      <w:r w:rsidR="00D047CC">
        <w:rPr>
          <w:rFonts w:ascii="Verdana" w:hAnsi="Verdana" w:cs="Times New Roman"/>
          <w:sz w:val="20"/>
          <w:szCs w:val="20"/>
        </w:rPr>
        <w:t>;</w:t>
      </w:r>
    </w:p>
    <w:p w14:paraId="490180A7" w14:textId="794A35BF" w:rsidR="00565ED7" w:rsidRPr="00B26BC5" w:rsidRDefault="00565ED7" w:rsidP="00565ED7">
      <w:pPr>
        <w:pStyle w:val="ListParagraph"/>
        <w:numPr>
          <w:ilvl w:val="0"/>
          <w:numId w:val="36"/>
        </w:numPr>
        <w:spacing w:before="120" w:after="120" w:line="276" w:lineRule="auto"/>
        <w:jc w:val="both"/>
        <w:rPr>
          <w:rFonts w:ascii="Verdana" w:hAnsi="Verdana" w:cs="Times New Roman"/>
          <w:sz w:val="20"/>
          <w:szCs w:val="20"/>
        </w:rPr>
      </w:pPr>
      <w:r w:rsidRPr="00B26BC5">
        <w:rPr>
          <w:rFonts w:ascii="Verdana" w:hAnsi="Verdana" w:cs="Times New Roman"/>
          <w:sz w:val="20"/>
          <w:szCs w:val="20"/>
        </w:rPr>
        <w:t xml:space="preserve">Successful organisation and expert facilitation of at least </w:t>
      </w:r>
      <w:r w:rsidR="00D047CC">
        <w:rPr>
          <w:rFonts w:ascii="Verdana" w:hAnsi="Verdana" w:cs="Times New Roman"/>
          <w:sz w:val="20"/>
          <w:szCs w:val="20"/>
        </w:rPr>
        <w:t>one</w:t>
      </w:r>
      <w:r w:rsidR="00D047CC" w:rsidRPr="00B26BC5">
        <w:rPr>
          <w:rFonts w:ascii="Verdana" w:hAnsi="Verdana" w:cs="Times New Roman"/>
          <w:sz w:val="20"/>
          <w:szCs w:val="20"/>
        </w:rPr>
        <w:t xml:space="preserve"> </w:t>
      </w:r>
      <w:r w:rsidRPr="00B26BC5">
        <w:rPr>
          <w:rFonts w:ascii="Verdana" w:hAnsi="Verdana" w:cs="Times New Roman"/>
          <w:sz w:val="20"/>
          <w:szCs w:val="20"/>
        </w:rPr>
        <w:t>international visits undertaken by SAPO leadership and staff</w:t>
      </w:r>
      <w:r w:rsidR="00D047CC">
        <w:rPr>
          <w:rFonts w:ascii="Verdana" w:hAnsi="Verdana" w:cs="Times New Roman"/>
          <w:sz w:val="20"/>
          <w:szCs w:val="20"/>
        </w:rPr>
        <w:t>;</w:t>
      </w:r>
    </w:p>
    <w:p w14:paraId="59B16CB8" w14:textId="140B53FC" w:rsidR="00565ED7" w:rsidRPr="00B26BC5" w:rsidRDefault="00565ED7" w:rsidP="00565ED7">
      <w:pPr>
        <w:pStyle w:val="ListParagraph"/>
        <w:numPr>
          <w:ilvl w:val="0"/>
          <w:numId w:val="36"/>
        </w:numPr>
        <w:spacing w:before="120" w:after="120" w:line="276" w:lineRule="auto"/>
        <w:jc w:val="both"/>
        <w:rPr>
          <w:rFonts w:ascii="Verdana" w:hAnsi="Verdana" w:cs="Times New Roman"/>
          <w:sz w:val="20"/>
          <w:szCs w:val="20"/>
        </w:rPr>
      </w:pPr>
      <w:r w:rsidRPr="00B26BC5">
        <w:rPr>
          <w:rFonts w:ascii="Verdana" w:hAnsi="Verdana" w:cs="Times New Roman"/>
          <w:sz w:val="20"/>
          <w:szCs w:val="20"/>
        </w:rPr>
        <w:t xml:space="preserve">Preparation of comprehensive informational and briefing materials, including meeting </w:t>
      </w:r>
      <w:r w:rsidRPr="00B26BC5">
        <w:rPr>
          <w:rFonts w:ascii="Verdana" w:hAnsi="Verdana" w:cs="Times New Roman"/>
          <w:sz w:val="20"/>
          <w:szCs w:val="20"/>
        </w:rPr>
        <w:lastRenderedPageBreak/>
        <w:t>notes and analytical summaries, to support engagement with international partners</w:t>
      </w:r>
      <w:r w:rsidR="00D047CC">
        <w:rPr>
          <w:rFonts w:ascii="Verdana" w:hAnsi="Verdana" w:cs="Times New Roman"/>
          <w:sz w:val="20"/>
          <w:szCs w:val="20"/>
        </w:rPr>
        <w:t>;</w:t>
      </w:r>
    </w:p>
    <w:p w14:paraId="62EFB84D" w14:textId="7B7CE006" w:rsidR="00042F15" w:rsidRPr="00B26BC5" w:rsidRDefault="00565ED7" w:rsidP="00565ED7">
      <w:pPr>
        <w:pStyle w:val="ListParagraph"/>
        <w:numPr>
          <w:ilvl w:val="0"/>
          <w:numId w:val="36"/>
        </w:numPr>
        <w:spacing w:before="120" w:after="120" w:line="276" w:lineRule="auto"/>
        <w:jc w:val="both"/>
        <w:rPr>
          <w:rFonts w:ascii="Verdana" w:hAnsi="Verdana" w:cs="Times New Roman"/>
          <w:sz w:val="20"/>
          <w:szCs w:val="20"/>
        </w:rPr>
      </w:pPr>
      <w:r w:rsidRPr="00B26BC5">
        <w:rPr>
          <w:rFonts w:ascii="Verdana" w:hAnsi="Verdana" w:cs="Times New Roman"/>
          <w:sz w:val="20"/>
          <w:szCs w:val="20"/>
        </w:rPr>
        <w:t>Submission of a detailed final report (not exceeding five pages) outlining the results achieved and providing strategic recommendations for further action. The report shall be submitted in Ukrainian with an English translation, subject to EUACI approval.</w:t>
      </w:r>
    </w:p>
    <w:p w14:paraId="69DD9A89" w14:textId="29B135C2" w:rsidR="006F7AC1" w:rsidRPr="00B26BC5" w:rsidRDefault="00377607" w:rsidP="00F93308">
      <w:pPr>
        <w:spacing w:before="120" w:after="120" w:line="276" w:lineRule="auto"/>
        <w:jc w:val="both"/>
        <w:rPr>
          <w:rFonts w:ascii="Verdana" w:eastAsia="Verdana" w:hAnsi="Verdana" w:cs="Verdana"/>
          <w:b/>
          <w:sz w:val="20"/>
          <w:szCs w:val="20"/>
        </w:rPr>
      </w:pPr>
      <w:r w:rsidRPr="00B26BC5">
        <w:rPr>
          <w:rFonts w:ascii="Verdana" w:eastAsia="Verdana" w:hAnsi="Verdana" w:cs="Verdana"/>
          <w:b/>
          <w:sz w:val="20"/>
          <w:szCs w:val="20"/>
        </w:rPr>
        <w:t>Qualifications</w:t>
      </w:r>
    </w:p>
    <w:p w14:paraId="0E682E71" w14:textId="0299B08A" w:rsidR="00565ED7" w:rsidRPr="00B26BC5" w:rsidRDefault="00565ED7" w:rsidP="00F93308">
      <w:pPr>
        <w:spacing w:before="120" w:after="120" w:line="276" w:lineRule="auto"/>
        <w:jc w:val="both"/>
        <w:rPr>
          <w:rFonts w:ascii="Verdana" w:eastAsia="Verdana" w:hAnsi="Verdana" w:cs="Verdana"/>
          <w:bCs/>
          <w:sz w:val="20"/>
          <w:szCs w:val="20"/>
        </w:rPr>
      </w:pPr>
      <w:r w:rsidRPr="00B26BC5">
        <w:rPr>
          <w:rFonts w:ascii="Verdana" w:eastAsia="Verdana" w:hAnsi="Verdana" w:cs="Verdana"/>
          <w:bCs/>
          <w:sz w:val="20"/>
          <w:szCs w:val="20"/>
        </w:rPr>
        <w:t>The assignment might be implemented by a Service provider (as a private entrepreneur) who has the following qualifications:</w:t>
      </w:r>
    </w:p>
    <w:p w14:paraId="25565510" w14:textId="26C8F4E9" w:rsidR="002B2E8C" w:rsidRPr="00B26BC5" w:rsidRDefault="002B2E8C" w:rsidP="00042F15">
      <w:pPr>
        <w:pStyle w:val="ListParagraph"/>
        <w:numPr>
          <w:ilvl w:val="0"/>
          <w:numId w:val="30"/>
        </w:numPr>
        <w:spacing w:before="120" w:after="120" w:line="276" w:lineRule="auto"/>
        <w:jc w:val="both"/>
        <w:rPr>
          <w:rFonts w:ascii="Verdana" w:eastAsia="Verdana" w:hAnsi="Verdana" w:cs="Verdana"/>
          <w:bCs/>
          <w:sz w:val="20"/>
          <w:szCs w:val="20"/>
        </w:rPr>
      </w:pPr>
      <w:r w:rsidRPr="00B26BC5">
        <w:rPr>
          <w:rFonts w:ascii="Verdana" w:eastAsia="Verdana" w:hAnsi="Verdana" w:cs="Verdana"/>
          <w:bCs/>
          <w:sz w:val="20"/>
          <w:szCs w:val="20"/>
        </w:rPr>
        <w:t>A higher education degree in international relations, law, or a related discipline.</w:t>
      </w:r>
    </w:p>
    <w:p w14:paraId="7C0A0992" w14:textId="066847AB" w:rsidR="002B2E8C" w:rsidRPr="00B26BC5" w:rsidRDefault="002B2E8C" w:rsidP="00042F15">
      <w:pPr>
        <w:pStyle w:val="ListParagraph"/>
        <w:numPr>
          <w:ilvl w:val="0"/>
          <w:numId w:val="30"/>
        </w:numPr>
        <w:spacing w:before="120" w:after="120" w:line="276" w:lineRule="auto"/>
        <w:jc w:val="both"/>
        <w:rPr>
          <w:rFonts w:ascii="Verdana" w:eastAsia="Verdana" w:hAnsi="Verdana" w:cs="Verdana"/>
          <w:bCs/>
          <w:sz w:val="20"/>
          <w:szCs w:val="20"/>
        </w:rPr>
      </w:pPr>
      <w:r w:rsidRPr="00B26BC5">
        <w:rPr>
          <w:rFonts w:ascii="Verdana" w:eastAsia="Verdana" w:hAnsi="Verdana" w:cs="Verdana"/>
          <w:bCs/>
          <w:sz w:val="20"/>
          <w:szCs w:val="20"/>
        </w:rPr>
        <w:t>A minimum of 4 years of professional experience in the field of international cooperation.</w:t>
      </w:r>
    </w:p>
    <w:p w14:paraId="281E202D" w14:textId="6992275C" w:rsidR="002B2E8C" w:rsidRPr="00B26BC5" w:rsidRDefault="002B2E8C" w:rsidP="00042F15">
      <w:pPr>
        <w:pStyle w:val="ListParagraph"/>
        <w:numPr>
          <w:ilvl w:val="0"/>
          <w:numId w:val="30"/>
        </w:numPr>
        <w:spacing w:before="120" w:after="120" w:line="276" w:lineRule="auto"/>
        <w:jc w:val="both"/>
        <w:rPr>
          <w:rFonts w:ascii="Verdana" w:eastAsia="Verdana" w:hAnsi="Verdana" w:cs="Verdana"/>
          <w:bCs/>
          <w:sz w:val="20"/>
          <w:szCs w:val="20"/>
        </w:rPr>
      </w:pPr>
      <w:r w:rsidRPr="00B26BC5">
        <w:rPr>
          <w:rFonts w:ascii="Verdana" w:eastAsia="Verdana" w:hAnsi="Verdana" w:cs="Verdana"/>
          <w:bCs/>
          <w:sz w:val="20"/>
          <w:szCs w:val="20"/>
        </w:rPr>
        <w:t>Demonstrated experience in mentoring and supporting new staff members.</w:t>
      </w:r>
    </w:p>
    <w:p w14:paraId="26C514D3" w14:textId="26FCF620" w:rsidR="002B2E8C" w:rsidRPr="00B26BC5" w:rsidRDefault="002B2E8C" w:rsidP="00042F15">
      <w:pPr>
        <w:pStyle w:val="ListParagraph"/>
        <w:numPr>
          <w:ilvl w:val="0"/>
          <w:numId w:val="30"/>
        </w:numPr>
        <w:spacing w:before="120" w:after="120" w:line="276" w:lineRule="auto"/>
        <w:jc w:val="both"/>
        <w:rPr>
          <w:rFonts w:ascii="Verdana" w:eastAsia="Verdana" w:hAnsi="Verdana" w:cs="Verdana"/>
          <w:bCs/>
          <w:sz w:val="20"/>
          <w:szCs w:val="20"/>
        </w:rPr>
      </w:pPr>
      <w:r w:rsidRPr="00B26BC5">
        <w:rPr>
          <w:rFonts w:ascii="Verdana" w:eastAsia="Verdana" w:hAnsi="Verdana" w:cs="Verdana"/>
          <w:bCs/>
          <w:sz w:val="20"/>
          <w:szCs w:val="20"/>
        </w:rPr>
        <w:t>Familiarity with Ukraine’s anti-corruption reforms will be considered an advantage.</w:t>
      </w:r>
    </w:p>
    <w:p w14:paraId="7CF6F9FE" w14:textId="69818AA8" w:rsidR="00E10964" w:rsidRPr="00B26BC5" w:rsidRDefault="002B2E8C" w:rsidP="00E10964">
      <w:pPr>
        <w:pStyle w:val="ListParagraph"/>
        <w:numPr>
          <w:ilvl w:val="0"/>
          <w:numId w:val="30"/>
        </w:numPr>
        <w:spacing w:before="120" w:after="120" w:line="276" w:lineRule="auto"/>
        <w:jc w:val="both"/>
        <w:rPr>
          <w:rFonts w:ascii="Verdana" w:eastAsia="Verdana" w:hAnsi="Verdana" w:cs="Verdana"/>
          <w:sz w:val="20"/>
          <w:szCs w:val="20"/>
        </w:rPr>
      </w:pPr>
      <w:r w:rsidRPr="00B26BC5">
        <w:rPr>
          <w:rFonts w:ascii="Verdana" w:eastAsia="Verdana" w:hAnsi="Verdana" w:cs="Verdana"/>
          <w:bCs/>
          <w:sz w:val="20"/>
          <w:szCs w:val="20"/>
        </w:rPr>
        <w:t>Fluency in Ukrainian and English is essential. Proficiency in additional languages, such as German or French, will be regarded as an asset.</w:t>
      </w:r>
    </w:p>
    <w:p w14:paraId="0BFF6969" w14:textId="77777777" w:rsidR="006F7AC1" w:rsidRPr="00B26BC5" w:rsidRDefault="00377607" w:rsidP="00F93308">
      <w:pPr>
        <w:spacing w:before="120" w:after="120" w:line="276" w:lineRule="auto"/>
        <w:jc w:val="both"/>
        <w:rPr>
          <w:rFonts w:ascii="Verdana" w:eastAsia="Verdana" w:hAnsi="Verdana" w:cs="Verdana"/>
          <w:b/>
          <w:sz w:val="20"/>
          <w:szCs w:val="20"/>
        </w:rPr>
      </w:pPr>
      <w:r w:rsidRPr="00B26BC5">
        <w:rPr>
          <w:rFonts w:ascii="Verdana" w:eastAsia="Verdana" w:hAnsi="Verdana" w:cs="Verdana"/>
          <w:b/>
          <w:sz w:val="20"/>
          <w:szCs w:val="20"/>
        </w:rPr>
        <w:t>Budget, timeframe, and location</w:t>
      </w:r>
    </w:p>
    <w:p w14:paraId="2F443DF7" w14:textId="519B8214" w:rsidR="00446B25" w:rsidRPr="00B26BC5" w:rsidRDefault="00446B25" w:rsidP="00446B25">
      <w:pPr>
        <w:pBdr>
          <w:top w:val="nil"/>
          <w:left w:val="nil"/>
          <w:bottom w:val="nil"/>
          <w:right w:val="nil"/>
          <w:between w:val="nil"/>
        </w:pBd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 xml:space="preserve">Budget Ceiling: The maximum allowable budget for the entirety of the activity is up to </w:t>
      </w:r>
      <w:r w:rsidRPr="00B26BC5">
        <w:rPr>
          <w:rFonts w:ascii="Verdana" w:eastAsia="Verdana" w:hAnsi="Verdana" w:cs="Verdana"/>
          <w:b/>
          <w:bCs/>
          <w:sz w:val="20"/>
          <w:szCs w:val="20"/>
        </w:rPr>
        <w:t xml:space="preserve">EUR </w:t>
      </w:r>
      <w:r w:rsidR="00D047CC">
        <w:rPr>
          <w:rFonts w:ascii="Verdana" w:eastAsia="Verdana" w:hAnsi="Verdana" w:cs="Verdana"/>
          <w:b/>
          <w:bCs/>
          <w:sz w:val="20"/>
          <w:szCs w:val="20"/>
        </w:rPr>
        <w:t>10</w:t>
      </w:r>
      <w:r w:rsidRPr="00B26BC5">
        <w:rPr>
          <w:rFonts w:ascii="Verdana" w:eastAsia="Verdana" w:hAnsi="Verdana" w:cs="Verdana"/>
          <w:b/>
          <w:bCs/>
          <w:sz w:val="20"/>
          <w:szCs w:val="20"/>
        </w:rPr>
        <w:t>,000</w:t>
      </w:r>
      <w:r w:rsidRPr="00B26BC5">
        <w:rPr>
          <w:rFonts w:ascii="Verdana" w:eastAsia="Verdana" w:hAnsi="Verdana" w:cs="Verdana"/>
          <w:sz w:val="20"/>
          <w:szCs w:val="20"/>
        </w:rPr>
        <w:t>.</w:t>
      </w:r>
    </w:p>
    <w:p w14:paraId="6809FF86" w14:textId="2EFCCBFC" w:rsidR="00446B25" w:rsidRPr="00A84E63" w:rsidRDefault="00446B25" w:rsidP="00446B25">
      <w:pPr>
        <w:pBdr>
          <w:top w:val="nil"/>
          <w:left w:val="nil"/>
          <w:bottom w:val="nil"/>
          <w:right w:val="nil"/>
          <w:between w:val="nil"/>
        </w:pBdr>
        <w:spacing w:before="120" w:after="120" w:line="276" w:lineRule="auto"/>
        <w:jc w:val="both"/>
        <w:rPr>
          <w:rFonts w:ascii="Verdana" w:eastAsia="Verdana" w:hAnsi="Verdana" w:cs="Verdana"/>
          <w:sz w:val="20"/>
          <w:szCs w:val="20"/>
        </w:rPr>
      </w:pPr>
      <w:r w:rsidRPr="00B26BC5">
        <w:rPr>
          <w:rFonts w:ascii="Verdana" w:eastAsia="Verdana" w:hAnsi="Verdana" w:cs="Verdana"/>
          <w:b/>
          <w:bCs/>
          <w:sz w:val="20"/>
          <w:szCs w:val="20"/>
        </w:rPr>
        <w:t>Duration:</w:t>
      </w:r>
      <w:r w:rsidRPr="00B26BC5">
        <w:rPr>
          <w:rFonts w:ascii="Verdana" w:eastAsia="Verdana" w:hAnsi="Verdana" w:cs="Verdana"/>
          <w:sz w:val="20"/>
          <w:szCs w:val="20"/>
        </w:rPr>
        <w:t xml:space="preserve"> The </w:t>
      </w:r>
      <w:r w:rsidRPr="00A84E63">
        <w:rPr>
          <w:rFonts w:ascii="Verdana" w:eastAsia="Verdana" w:hAnsi="Verdana" w:cs="Verdana"/>
          <w:sz w:val="20"/>
          <w:szCs w:val="20"/>
        </w:rPr>
        <w:t xml:space="preserve">contract shall enter into force upon signature and shall remain valid for a maximum period of </w:t>
      </w:r>
      <w:r w:rsidR="008330F4" w:rsidRPr="00A84E63">
        <w:rPr>
          <w:rFonts w:ascii="Verdana" w:eastAsia="Verdana" w:hAnsi="Verdana" w:cs="Verdana"/>
          <w:sz w:val="20"/>
          <w:szCs w:val="20"/>
        </w:rPr>
        <w:t xml:space="preserve">three </w:t>
      </w:r>
      <w:r w:rsidRPr="00A84E63">
        <w:rPr>
          <w:rFonts w:ascii="Verdana" w:eastAsia="Verdana" w:hAnsi="Verdana" w:cs="Verdana"/>
          <w:sz w:val="20"/>
          <w:szCs w:val="20"/>
        </w:rPr>
        <w:t>(</w:t>
      </w:r>
      <w:r w:rsidR="00E44447" w:rsidRPr="00A84E63">
        <w:rPr>
          <w:rFonts w:ascii="Verdana" w:eastAsia="Verdana" w:hAnsi="Verdana" w:cs="Verdana"/>
          <w:sz w:val="20"/>
          <w:szCs w:val="20"/>
        </w:rPr>
        <w:t>3</w:t>
      </w:r>
      <w:r w:rsidRPr="00A84E63">
        <w:rPr>
          <w:rFonts w:ascii="Verdana" w:eastAsia="Verdana" w:hAnsi="Verdana" w:cs="Verdana"/>
          <w:sz w:val="20"/>
          <w:szCs w:val="20"/>
        </w:rPr>
        <w:t>) months. It is expected that the Service Provider will work between 15 and 22 days per month.</w:t>
      </w:r>
      <w:r w:rsidRPr="00A84E63">
        <w:t xml:space="preserve"> </w:t>
      </w:r>
      <w:r w:rsidRPr="00A84E63">
        <w:rPr>
          <w:rFonts w:ascii="Verdana" w:eastAsia="Verdana" w:hAnsi="Verdana" w:cs="Verdana"/>
          <w:sz w:val="20"/>
          <w:szCs w:val="20"/>
        </w:rPr>
        <w:t>Subject to the proposal submitted by the Service Provider.</w:t>
      </w:r>
    </w:p>
    <w:p w14:paraId="629CACDE" w14:textId="77777777" w:rsidR="00446B25" w:rsidRPr="00B26BC5" w:rsidRDefault="00446B25" w:rsidP="00446B25">
      <w:pPr>
        <w:pBdr>
          <w:top w:val="nil"/>
          <w:left w:val="nil"/>
          <w:bottom w:val="nil"/>
          <w:right w:val="nil"/>
          <w:between w:val="nil"/>
        </w:pBdr>
        <w:spacing w:before="120" w:after="120" w:line="276" w:lineRule="auto"/>
        <w:jc w:val="both"/>
        <w:rPr>
          <w:rFonts w:ascii="Verdana" w:eastAsia="Verdana" w:hAnsi="Verdana" w:cs="Verdana"/>
          <w:sz w:val="20"/>
          <w:szCs w:val="20"/>
        </w:rPr>
      </w:pPr>
      <w:r w:rsidRPr="00A84E63">
        <w:rPr>
          <w:rFonts w:ascii="Verdana" w:eastAsia="Verdana" w:hAnsi="Verdana" w:cs="Verdana"/>
          <w:sz w:val="20"/>
          <w:szCs w:val="20"/>
        </w:rPr>
        <w:t>The EUACI will award only one contract</w:t>
      </w:r>
      <w:r w:rsidRPr="00B26BC5">
        <w:rPr>
          <w:rFonts w:ascii="Verdana" w:eastAsia="Verdana" w:hAnsi="Verdana" w:cs="Verdana"/>
          <w:sz w:val="20"/>
          <w:szCs w:val="20"/>
        </w:rPr>
        <w:t xml:space="preserve"> to fulfil this objective. </w:t>
      </w:r>
    </w:p>
    <w:p w14:paraId="2FA09DC9" w14:textId="5A058094" w:rsidR="00446B25" w:rsidRPr="00B26BC5" w:rsidRDefault="00446B25" w:rsidP="00446B25">
      <w:pPr>
        <w:pBdr>
          <w:top w:val="nil"/>
          <w:left w:val="nil"/>
          <w:bottom w:val="nil"/>
          <w:right w:val="nil"/>
          <w:between w:val="nil"/>
        </w:pBdr>
        <w:spacing w:before="120" w:after="120" w:line="276" w:lineRule="auto"/>
        <w:jc w:val="both"/>
        <w:rPr>
          <w:rFonts w:ascii="Verdana" w:eastAsia="Verdana" w:hAnsi="Verdana" w:cs="Verdana"/>
          <w:sz w:val="20"/>
          <w:szCs w:val="20"/>
        </w:rPr>
      </w:pPr>
      <w:r w:rsidRPr="00B26BC5">
        <w:rPr>
          <w:rFonts w:ascii="Verdana" w:eastAsia="Verdana" w:hAnsi="Verdana" w:cs="Verdana"/>
          <w:b/>
          <w:bCs/>
          <w:sz w:val="20"/>
          <w:szCs w:val="20"/>
        </w:rPr>
        <w:t>Location:</w:t>
      </w:r>
      <w:r w:rsidRPr="00B26BC5">
        <w:rPr>
          <w:rFonts w:ascii="Verdana" w:eastAsia="Verdana" w:hAnsi="Verdana" w:cs="Verdana"/>
          <w:sz w:val="20"/>
          <w:szCs w:val="20"/>
        </w:rPr>
        <w:t xml:space="preserve"> It is expected that the Service Provider will spend at least half of the time working from SAPO premises (Kyiv, Ukraine), with potential international travel as necessary.</w:t>
      </w:r>
    </w:p>
    <w:p w14:paraId="5F0DF0ED" w14:textId="56D1F942" w:rsidR="00446B25" w:rsidRPr="00B26BC5" w:rsidRDefault="00446B25" w:rsidP="00F93308">
      <w:pPr>
        <w:pBdr>
          <w:top w:val="nil"/>
          <w:left w:val="nil"/>
          <w:bottom w:val="nil"/>
          <w:right w:val="nil"/>
          <w:between w:val="nil"/>
        </w:pBdr>
        <w:spacing w:before="120" w:after="120" w:line="276" w:lineRule="auto"/>
        <w:jc w:val="both"/>
        <w:rPr>
          <w:rFonts w:ascii="Verdana" w:eastAsia="Verdana" w:hAnsi="Verdana" w:cs="Verdana"/>
          <w:sz w:val="20"/>
          <w:szCs w:val="20"/>
        </w:rPr>
      </w:pPr>
      <w:r w:rsidRPr="00B26BC5">
        <w:rPr>
          <w:rFonts w:ascii="Verdana" w:eastAsia="Verdana" w:hAnsi="Verdana" w:cs="Verdana"/>
          <w:b/>
          <w:bCs/>
          <w:sz w:val="20"/>
          <w:szCs w:val="20"/>
        </w:rPr>
        <w:t>Payment Terms</w:t>
      </w:r>
      <w:r w:rsidRPr="00B26BC5">
        <w:rPr>
          <w:rFonts w:ascii="Verdana" w:eastAsia="Verdana" w:hAnsi="Verdana" w:cs="Verdana"/>
          <w:sz w:val="20"/>
          <w:szCs w:val="20"/>
        </w:rPr>
        <w:t xml:space="preserve">: Remuneration shall be made on a </w:t>
      </w:r>
      <w:r w:rsidRPr="00B26BC5">
        <w:rPr>
          <w:rFonts w:ascii="Verdana" w:eastAsia="Verdana" w:hAnsi="Verdana" w:cs="Verdana"/>
          <w:b/>
          <w:bCs/>
          <w:sz w:val="20"/>
          <w:szCs w:val="20"/>
        </w:rPr>
        <w:t xml:space="preserve">monthly basis, </w:t>
      </w:r>
      <w:r w:rsidRPr="00B26BC5">
        <w:rPr>
          <w:rFonts w:ascii="Verdana" w:eastAsia="Verdana" w:hAnsi="Verdana" w:cs="Verdana"/>
          <w:sz w:val="20"/>
          <w:szCs w:val="20"/>
        </w:rPr>
        <w:t xml:space="preserve">contingent upon the </w:t>
      </w:r>
      <w:bookmarkStart w:id="2" w:name="_Hlk205906647"/>
      <w:r w:rsidRPr="00B26BC5">
        <w:rPr>
          <w:rFonts w:ascii="Verdana" w:eastAsia="Verdana" w:hAnsi="Verdana" w:cs="Verdana"/>
          <w:sz w:val="20"/>
          <w:szCs w:val="20"/>
        </w:rPr>
        <w:t xml:space="preserve">Service Provider’s </w:t>
      </w:r>
      <w:bookmarkEnd w:id="2"/>
      <w:r w:rsidRPr="00B26BC5">
        <w:rPr>
          <w:rFonts w:ascii="Verdana" w:eastAsia="Verdana" w:hAnsi="Verdana" w:cs="Verdana"/>
          <w:sz w:val="20"/>
          <w:szCs w:val="20"/>
        </w:rPr>
        <w:t>submission of a written activity report detailing the number of consultations/activities/documents delivered during the relevant period, subject to the EUACI’s review. All the payments under the contract will be made on a monthly basis in UAH according to the official NBU exchange rate published on the business day of the invoice issuance by the contractor. Payments will be made based on invoices and timesheets approved by SAPO and EUACI representatives.</w:t>
      </w:r>
    </w:p>
    <w:p w14:paraId="7C18C1E3" w14:textId="5730F9D9" w:rsidR="006F7AC1" w:rsidRPr="00B26BC5" w:rsidRDefault="008D7747" w:rsidP="00F93308">
      <w:pPr>
        <w:pBdr>
          <w:top w:val="nil"/>
          <w:left w:val="nil"/>
          <w:bottom w:val="nil"/>
          <w:right w:val="nil"/>
          <w:between w:val="nil"/>
        </w:pBdr>
        <w:spacing w:before="120" w:after="120" w:line="276" w:lineRule="auto"/>
        <w:jc w:val="both"/>
        <w:rPr>
          <w:rFonts w:ascii="Verdana" w:eastAsia="Verdana" w:hAnsi="Verdana" w:cs="Verdana"/>
          <w:color w:val="000000"/>
          <w:sz w:val="20"/>
          <w:szCs w:val="20"/>
        </w:rPr>
      </w:pPr>
      <w:r w:rsidRPr="00B26BC5">
        <w:rPr>
          <w:rFonts w:ascii="Verdana" w:eastAsia="Verdana" w:hAnsi="Verdana" w:cs="Verdana"/>
          <w:b/>
          <w:color w:val="000000"/>
          <w:sz w:val="20"/>
          <w:szCs w:val="20"/>
        </w:rPr>
        <w:t>Reporting and management</w:t>
      </w:r>
      <w:r w:rsidR="00377607" w:rsidRPr="00B26BC5">
        <w:rPr>
          <w:rFonts w:ascii="Verdana" w:eastAsia="Verdana" w:hAnsi="Verdana" w:cs="Verdana"/>
          <w:color w:val="000000"/>
          <w:sz w:val="20"/>
          <w:szCs w:val="20"/>
        </w:rPr>
        <w:t xml:space="preserve"> </w:t>
      </w:r>
    </w:p>
    <w:p w14:paraId="7B288C42" w14:textId="0427C3F9" w:rsidR="008D7747" w:rsidRPr="00B26BC5" w:rsidRDefault="008D7747"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 xml:space="preserve">The performance of the </w:t>
      </w:r>
      <w:r w:rsidR="002B2E8C" w:rsidRPr="00B26BC5">
        <w:rPr>
          <w:rFonts w:ascii="Verdana" w:eastAsia="Verdana" w:hAnsi="Verdana" w:cs="Verdana"/>
          <w:sz w:val="20"/>
          <w:szCs w:val="20"/>
        </w:rPr>
        <w:t>Service Provider</w:t>
      </w:r>
      <w:r w:rsidRPr="00B26BC5">
        <w:rPr>
          <w:rFonts w:ascii="Verdana" w:eastAsia="Verdana" w:hAnsi="Verdana" w:cs="Verdana"/>
          <w:sz w:val="20"/>
          <w:szCs w:val="20"/>
        </w:rPr>
        <w:t xml:space="preserve"> will be judged upon reaching the purpose of this contract as well as obtaining its results, as indicated in the section “Objective” and “Deliverables” herein respectively. Moreover, the performance of the </w:t>
      </w:r>
      <w:r w:rsidR="002B2E8C" w:rsidRPr="00B26BC5">
        <w:rPr>
          <w:rFonts w:ascii="Verdana" w:eastAsia="Verdana" w:hAnsi="Verdana" w:cs="Verdana"/>
          <w:sz w:val="20"/>
          <w:szCs w:val="20"/>
        </w:rPr>
        <w:t>Service Provider</w:t>
      </w:r>
      <w:r w:rsidRPr="00B26BC5">
        <w:rPr>
          <w:rFonts w:ascii="Verdana" w:eastAsia="Verdana" w:hAnsi="Verdana" w:cs="Verdana"/>
          <w:sz w:val="20"/>
          <w:szCs w:val="20"/>
        </w:rPr>
        <w:t xml:space="preserve"> will be judged upon the successful implementation of all the specific activities indicated in Section “Scope of work” of this document</w:t>
      </w:r>
    </w:p>
    <w:p w14:paraId="5CD32DA7" w14:textId="1D001AC3" w:rsidR="006F7AC1" w:rsidRPr="00B26BC5" w:rsidRDefault="00377607"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 xml:space="preserve">By signing the contract, the </w:t>
      </w:r>
      <w:r w:rsidR="002B2E8C" w:rsidRPr="00B26BC5">
        <w:rPr>
          <w:rFonts w:ascii="Verdana" w:eastAsia="Verdana" w:hAnsi="Verdana" w:cs="Verdana"/>
          <w:sz w:val="20"/>
          <w:szCs w:val="20"/>
        </w:rPr>
        <w:t>Service Provider</w:t>
      </w:r>
      <w:r w:rsidRPr="00B26BC5">
        <w:rPr>
          <w:rFonts w:ascii="Verdana" w:eastAsia="Verdana" w:hAnsi="Verdana" w:cs="Verdana"/>
          <w:sz w:val="20"/>
          <w:szCs w:val="20"/>
        </w:rPr>
        <w:t xml:space="preserve"> agrees to hold in trust and confidence any information or documents ("confidential information") disclosed to the </w:t>
      </w:r>
      <w:r w:rsidR="002B2E8C" w:rsidRPr="00B26BC5">
        <w:rPr>
          <w:rFonts w:ascii="Verdana" w:eastAsia="Verdana" w:hAnsi="Verdana" w:cs="Verdana"/>
          <w:sz w:val="20"/>
          <w:szCs w:val="20"/>
        </w:rPr>
        <w:t xml:space="preserve">Service Provider </w:t>
      </w:r>
      <w:r w:rsidRPr="00B26BC5">
        <w:rPr>
          <w:rFonts w:ascii="Verdana" w:eastAsia="Verdana" w:hAnsi="Verdana" w:cs="Verdana"/>
          <w:sz w:val="20"/>
          <w:szCs w:val="20"/>
        </w:rPr>
        <w:t xml:space="preserve">or discovered by the </w:t>
      </w:r>
      <w:r w:rsidR="002B2E8C" w:rsidRPr="00B26BC5">
        <w:rPr>
          <w:rFonts w:ascii="Verdana" w:eastAsia="Verdana" w:hAnsi="Verdana" w:cs="Verdana"/>
          <w:sz w:val="20"/>
          <w:szCs w:val="20"/>
        </w:rPr>
        <w:t>Service Provider</w:t>
      </w:r>
      <w:r w:rsidRPr="00B26BC5">
        <w:rPr>
          <w:rFonts w:ascii="Verdana" w:eastAsia="Verdana" w:hAnsi="Verdana" w:cs="Verdana"/>
          <w:sz w:val="20"/>
          <w:szCs w:val="20"/>
        </w:rPr>
        <w:t xml:space="preserve"> or prepared by the </w:t>
      </w:r>
      <w:r w:rsidR="002B2E8C" w:rsidRPr="00B26BC5">
        <w:rPr>
          <w:rFonts w:ascii="Verdana" w:eastAsia="Verdana" w:hAnsi="Verdana" w:cs="Verdana"/>
          <w:sz w:val="20"/>
          <w:szCs w:val="20"/>
        </w:rPr>
        <w:t>Service Provider</w:t>
      </w:r>
      <w:r w:rsidRPr="00B26BC5">
        <w:rPr>
          <w:rFonts w:ascii="Verdana" w:eastAsia="Verdana" w:hAnsi="Verdana" w:cs="Verdana"/>
          <w:sz w:val="20"/>
          <w:szCs w:val="20"/>
        </w:rPr>
        <w:t xml:space="preserve"> in the course of or as a result of the implementation of the contract, and agrees that it shall be used only for the contract implementation and shall not be disclosed to any third party. The </w:t>
      </w:r>
      <w:r w:rsidR="002B2E8C" w:rsidRPr="00B26BC5">
        <w:rPr>
          <w:rFonts w:ascii="Verdana" w:eastAsia="Verdana" w:hAnsi="Verdana" w:cs="Verdana"/>
          <w:sz w:val="20"/>
          <w:szCs w:val="20"/>
        </w:rPr>
        <w:t>Service Provider</w:t>
      </w:r>
      <w:r w:rsidRPr="00B26BC5">
        <w:rPr>
          <w:rFonts w:ascii="Verdana" w:eastAsia="Verdana" w:hAnsi="Verdana" w:cs="Verdana"/>
          <w:sz w:val="20"/>
          <w:szCs w:val="20"/>
        </w:rPr>
        <w:t xml:space="preserve"> also agrees not to retain copies of any written information or prototypes in its archive and for its use.</w:t>
      </w:r>
    </w:p>
    <w:p w14:paraId="5713FCDF" w14:textId="7A359E7F" w:rsidR="007E0008" w:rsidRPr="00B26BC5" w:rsidRDefault="002B2E8C"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lastRenderedPageBreak/>
        <w:t>Regular reporting to the EUACI on the progress of contract implementation is mandatory. Regular briefings will be conducted on weekly basis. T</w:t>
      </w:r>
      <w:r w:rsidR="007E0008" w:rsidRPr="00B26BC5">
        <w:rPr>
          <w:rFonts w:ascii="Verdana" w:eastAsia="Verdana" w:hAnsi="Verdana" w:cs="Verdana"/>
          <w:sz w:val="20"/>
          <w:szCs w:val="20"/>
        </w:rPr>
        <w:t xml:space="preserve">he </w:t>
      </w:r>
      <w:r w:rsidRPr="00B26BC5">
        <w:rPr>
          <w:rFonts w:ascii="Verdana" w:eastAsia="Verdana" w:hAnsi="Verdana" w:cs="Verdana"/>
          <w:sz w:val="20"/>
          <w:szCs w:val="20"/>
        </w:rPr>
        <w:t>S</w:t>
      </w:r>
      <w:r w:rsidR="007E0008" w:rsidRPr="00B26BC5">
        <w:rPr>
          <w:rFonts w:ascii="Verdana" w:eastAsia="Verdana" w:hAnsi="Verdana" w:cs="Verdana"/>
          <w:sz w:val="20"/>
          <w:szCs w:val="20"/>
        </w:rPr>
        <w:t xml:space="preserve">ervice </w:t>
      </w:r>
      <w:r w:rsidRPr="00B26BC5">
        <w:rPr>
          <w:rFonts w:ascii="Verdana" w:eastAsia="Verdana" w:hAnsi="Verdana" w:cs="Verdana"/>
          <w:sz w:val="20"/>
          <w:szCs w:val="20"/>
        </w:rPr>
        <w:t>P</w:t>
      </w:r>
      <w:r w:rsidR="007E0008" w:rsidRPr="00B26BC5">
        <w:rPr>
          <w:rFonts w:ascii="Verdana" w:eastAsia="Verdana" w:hAnsi="Verdana" w:cs="Verdana"/>
          <w:sz w:val="20"/>
          <w:szCs w:val="20"/>
        </w:rPr>
        <w:t>rovider should refer to</w:t>
      </w:r>
      <w:r w:rsidRPr="00B26BC5">
        <w:rPr>
          <w:rFonts w:ascii="Verdana" w:eastAsia="Verdana" w:hAnsi="Verdana" w:cs="Verdana"/>
          <w:sz w:val="20"/>
          <w:szCs w:val="20"/>
        </w:rPr>
        <w:t xml:space="preserve"> the Head of SAPO</w:t>
      </w:r>
      <w:r w:rsidR="001D743F">
        <w:rPr>
          <w:rFonts w:ascii="Verdana" w:eastAsia="Verdana" w:hAnsi="Verdana" w:cs="Verdana"/>
          <w:sz w:val="20"/>
          <w:szCs w:val="20"/>
        </w:rPr>
        <w:t xml:space="preserve">and Head of </w:t>
      </w:r>
      <w:r w:rsidR="001D743F" w:rsidRPr="00802A3B">
        <w:rPr>
          <w:rFonts w:ascii="Verdana" w:hAnsi="Verdana"/>
          <w:bCs/>
          <w:sz w:val="20"/>
          <w:szCs w:val="20"/>
        </w:rPr>
        <w:t>Organisational, Legal and Information-Analytical Department</w:t>
      </w:r>
      <w:r w:rsidR="001D743F">
        <w:rPr>
          <w:rFonts w:ascii="Verdana" w:eastAsia="Verdana" w:hAnsi="Verdana" w:cs="Verdana"/>
          <w:sz w:val="20"/>
          <w:szCs w:val="20"/>
        </w:rPr>
        <w:t xml:space="preserve">. </w:t>
      </w:r>
      <w:r w:rsidRPr="00B26BC5">
        <w:rPr>
          <w:rFonts w:ascii="Verdana" w:eastAsia="Verdana" w:hAnsi="Verdana" w:cs="Verdana"/>
          <w:sz w:val="20"/>
          <w:szCs w:val="20"/>
        </w:rPr>
        <w:t>.</w:t>
      </w:r>
    </w:p>
    <w:p w14:paraId="0FBE1AEF" w14:textId="77777777" w:rsidR="000A3B61" w:rsidRPr="00B26BC5" w:rsidRDefault="000A3B61" w:rsidP="00F93308">
      <w:pPr>
        <w:spacing w:before="120" w:after="120" w:line="276" w:lineRule="auto"/>
        <w:jc w:val="both"/>
        <w:rPr>
          <w:rFonts w:ascii="Verdana" w:eastAsia="Verdana" w:hAnsi="Verdana" w:cs="Verdana"/>
          <w:b/>
          <w:sz w:val="20"/>
          <w:szCs w:val="20"/>
        </w:rPr>
      </w:pPr>
      <w:bookmarkStart w:id="3" w:name="_Toc66995620"/>
      <w:r w:rsidRPr="00B26BC5">
        <w:rPr>
          <w:rFonts w:ascii="Verdana" w:eastAsia="Verdana" w:hAnsi="Verdana" w:cs="Verdana"/>
          <w:b/>
          <w:sz w:val="20"/>
          <w:szCs w:val="20"/>
        </w:rPr>
        <w:t>How to apply</w:t>
      </w:r>
      <w:bookmarkEnd w:id="3"/>
    </w:p>
    <w:p w14:paraId="0B1BF2A2" w14:textId="0169C927" w:rsidR="000A3B61" w:rsidRPr="00B26BC5" w:rsidRDefault="000A3B61"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The dead</w:t>
      </w:r>
      <w:r w:rsidR="007E0008" w:rsidRPr="00B26BC5">
        <w:rPr>
          <w:rFonts w:ascii="Verdana" w:eastAsia="Verdana" w:hAnsi="Verdana" w:cs="Verdana"/>
          <w:sz w:val="20"/>
          <w:szCs w:val="20"/>
        </w:rPr>
        <w:t>line for submitting the proposal</w:t>
      </w:r>
      <w:r w:rsidRPr="00B26BC5">
        <w:rPr>
          <w:rFonts w:ascii="Verdana" w:eastAsia="Verdana" w:hAnsi="Verdana" w:cs="Verdana"/>
          <w:sz w:val="20"/>
          <w:szCs w:val="20"/>
        </w:rPr>
        <w:t xml:space="preserve"> </w:t>
      </w:r>
      <w:r w:rsidRPr="00A84E63">
        <w:rPr>
          <w:rFonts w:ascii="Verdana" w:eastAsia="Verdana" w:hAnsi="Verdana" w:cs="Verdana"/>
          <w:sz w:val="20"/>
          <w:szCs w:val="20"/>
        </w:rPr>
        <w:t xml:space="preserve">is </w:t>
      </w:r>
      <w:r w:rsidR="00A84E63">
        <w:rPr>
          <w:rFonts w:ascii="Verdana" w:eastAsia="Verdana" w:hAnsi="Verdana" w:cs="Verdana"/>
          <w:b/>
          <w:bCs/>
          <w:sz w:val="20"/>
          <w:szCs w:val="20"/>
        </w:rPr>
        <w:t>1 December 12:00</w:t>
      </w:r>
      <w:r w:rsidRPr="00A84E63">
        <w:rPr>
          <w:rFonts w:ascii="Verdana" w:eastAsia="Verdana" w:hAnsi="Verdana" w:cs="Verdana"/>
          <w:b/>
          <w:bCs/>
          <w:sz w:val="20"/>
          <w:szCs w:val="20"/>
        </w:rPr>
        <w:t xml:space="preserve">, </w:t>
      </w:r>
      <w:r w:rsidR="007E0008" w:rsidRPr="00A84E63">
        <w:rPr>
          <w:rFonts w:ascii="Verdana" w:eastAsia="Verdana" w:hAnsi="Verdana" w:cs="Verdana"/>
          <w:sz w:val="20"/>
          <w:szCs w:val="20"/>
        </w:rPr>
        <w:t>XXX</w:t>
      </w:r>
      <w:r w:rsidRPr="00B26BC5">
        <w:rPr>
          <w:rFonts w:ascii="Verdana" w:eastAsia="Verdana" w:hAnsi="Verdana" w:cs="Verdana"/>
          <w:sz w:val="20"/>
          <w:szCs w:val="20"/>
        </w:rPr>
        <w:t xml:space="preserve"> Kyiv time.</w:t>
      </w:r>
    </w:p>
    <w:p w14:paraId="4A37DFFB" w14:textId="5100A675" w:rsidR="000A3B61" w:rsidRPr="00B26BC5" w:rsidRDefault="000A3B61"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 xml:space="preserve">All interested </w:t>
      </w:r>
      <w:r w:rsidR="007E0008" w:rsidRPr="00B26BC5">
        <w:rPr>
          <w:rFonts w:ascii="Verdana" w:eastAsia="Verdana" w:hAnsi="Verdana" w:cs="Verdana"/>
          <w:sz w:val="20"/>
          <w:szCs w:val="20"/>
        </w:rPr>
        <w:t>candidates</w:t>
      </w:r>
      <w:r w:rsidRPr="00B26BC5">
        <w:rPr>
          <w:rFonts w:ascii="Verdana" w:eastAsia="Verdana" w:hAnsi="Verdana" w:cs="Verdana"/>
          <w:sz w:val="20"/>
          <w:szCs w:val="20"/>
        </w:rPr>
        <w:t xml:space="preserve"> should submit: </w:t>
      </w:r>
    </w:p>
    <w:p w14:paraId="4F810508" w14:textId="77777777" w:rsidR="002B2E8C" w:rsidRPr="00B26BC5" w:rsidRDefault="002B2E8C" w:rsidP="002B2E8C">
      <w:pPr>
        <w:pStyle w:val="ListParagraph"/>
        <w:numPr>
          <w:ilvl w:val="0"/>
          <w:numId w:val="31"/>
        </w:num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CV of the Service Provider.</w:t>
      </w:r>
    </w:p>
    <w:p w14:paraId="23AAEC6F" w14:textId="77777777" w:rsidR="002B2E8C" w:rsidRPr="00B26BC5" w:rsidRDefault="002B2E8C" w:rsidP="002B2E8C">
      <w:pPr>
        <w:pStyle w:val="ListParagraph"/>
        <w:numPr>
          <w:ilvl w:val="0"/>
          <w:numId w:val="31"/>
        </w:num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Financial proposal outlining the daily rate, total number of working days, as well as an estimate of international travel costs, if applicable.</w:t>
      </w:r>
    </w:p>
    <w:p w14:paraId="6F3D20B5" w14:textId="77777777" w:rsidR="002B2E8C" w:rsidRPr="00B26BC5" w:rsidRDefault="002B2E8C" w:rsidP="002B2E8C">
      <w:pPr>
        <w:pStyle w:val="ListParagraph"/>
        <w:numPr>
          <w:ilvl w:val="0"/>
          <w:numId w:val="31"/>
        </w:num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Motivation letter of the Service Provider (not exceeding one page in length).</w:t>
      </w:r>
    </w:p>
    <w:p w14:paraId="48E2B7E0" w14:textId="0C3BC28B" w:rsidR="000A3B61" w:rsidRPr="00B26BC5" w:rsidRDefault="000A3B61"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 xml:space="preserve">The proposal shall include the aforementioned information and should be submitted within the above deadline to </w:t>
      </w:r>
      <w:hyperlink r:id="rId10" w:history="1">
        <w:r w:rsidR="007E0008" w:rsidRPr="00B26BC5">
          <w:rPr>
            <w:rStyle w:val="Hyperlink"/>
            <w:rFonts w:ascii="Verdana" w:eastAsia="Verdana" w:hAnsi="Verdana" w:cs="Verdana"/>
            <w:sz w:val="20"/>
            <w:szCs w:val="20"/>
          </w:rPr>
          <w:t>EUACI@um.dk</w:t>
        </w:r>
      </w:hyperlink>
      <w:r w:rsidR="007E0008" w:rsidRPr="00B26BC5">
        <w:rPr>
          <w:rFonts w:ascii="Verdana" w:eastAsia="Verdana" w:hAnsi="Verdana" w:cs="Verdana"/>
          <w:sz w:val="20"/>
          <w:szCs w:val="20"/>
        </w:rPr>
        <w:t xml:space="preserve"> cc to </w:t>
      </w:r>
      <w:hyperlink r:id="rId11" w:history="1">
        <w:r w:rsidR="00B26BC5" w:rsidRPr="00B26BC5">
          <w:rPr>
            <w:rStyle w:val="Hyperlink"/>
            <w:rFonts w:ascii="Verdana" w:eastAsia="Verdana" w:hAnsi="Verdana" w:cs="Verdana"/>
            <w:sz w:val="20"/>
            <w:szCs w:val="20"/>
          </w:rPr>
          <w:t>olemir@um.dk</w:t>
        </w:r>
      </w:hyperlink>
      <w:r w:rsidR="00B26BC5" w:rsidRPr="00B26BC5">
        <w:rPr>
          <w:rFonts w:ascii="Verdana" w:eastAsia="Verdana" w:hAnsi="Verdana" w:cs="Verdana"/>
          <w:sz w:val="20"/>
          <w:szCs w:val="20"/>
        </w:rPr>
        <w:t xml:space="preserve"> </w:t>
      </w:r>
      <w:r w:rsidRPr="00B26BC5">
        <w:rPr>
          <w:rFonts w:ascii="Verdana" w:eastAsia="Verdana" w:hAnsi="Verdana" w:cs="Verdana"/>
          <w:sz w:val="20"/>
          <w:szCs w:val="20"/>
        </w:rPr>
        <w:t xml:space="preserve"> </w:t>
      </w:r>
      <w:r w:rsidR="00444082" w:rsidRPr="00B26BC5">
        <w:rPr>
          <w:rFonts w:ascii="Verdana" w:eastAsia="Verdana" w:hAnsi="Verdana" w:cs="Verdana"/>
          <w:sz w:val="20"/>
          <w:szCs w:val="20"/>
        </w:rPr>
        <w:t>in</w:t>
      </w:r>
      <w:r w:rsidRPr="00B26BC5">
        <w:rPr>
          <w:rFonts w:ascii="Verdana" w:eastAsia="Verdana" w:hAnsi="Verdana" w:cs="Verdana"/>
          <w:sz w:val="20"/>
          <w:szCs w:val="20"/>
        </w:rPr>
        <w:t xml:space="preserve">dicating the subject line: </w:t>
      </w:r>
      <w:r w:rsidR="00B26BC5" w:rsidRPr="00B26BC5">
        <w:rPr>
          <w:rFonts w:ascii="Verdana" w:eastAsia="Verdana" w:hAnsi="Verdana" w:cs="Verdana"/>
          <w:b/>
          <w:sz w:val="20"/>
          <w:szCs w:val="20"/>
        </w:rPr>
        <w:t>National Adviser on International Relations for SAPO.</w:t>
      </w:r>
    </w:p>
    <w:p w14:paraId="73441440" w14:textId="3ACC0F2A" w:rsidR="007E0008" w:rsidRPr="00B26BC5" w:rsidRDefault="007E0008"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 xml:space="preserve">You will receive an auto-reply from the </w:t>
      </w:r>
      <w:hyperlink r:id="rId12" w:history="1">
        <w:r w:rsidRPr="00B26BC5">
          <w:rPr>
            <w:rStyle w:val="Hyperlink"/>
            <w:rFonts w:ascii="Verdana" w:eastAsia="Verdana" w:hAnsi="Verdana" w:cs="Verdana"/>
            <w:sz w:val="20"/>
            <w:szCs w:val="20"/>
          </w:rPr>
          <w:t>EUACI@um.dk</w:t>
        </w:r>
      </w:hyperlink>
      <w:r w:rsidRPr="00B26BC5">
        <w:rPr>
          <w:rFonts w:ascii="Verdana" w:eastAsia="Verdana" w:hAnsi="Verdana" w:cs="Verdana"/>
          <w:sz w:val="20"/>
          <w:szCs w:val="20"/>
        </w:rPr>
        <w:t xml:space="preserve"> mailbox when the offer has been received. If you do not receive an auto-reply, your offer was not received and you should contact the EUACI by phone.</w:t>
      </w:r>
    </w:p>
    <w:p w14:paraId="3CB4DE32" w14:textId="6BD55C55" w:rsidR="000A3B61" w:rsidRPr="00B26BC5" w:rsidRDefault="000A3B61"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Bidding language: English.</w:t>
      </w:r>
    </w:p>
    <w:p w14:paraId="5D248D54" w14:textId="03E5F2EA" w:rsidR="000A3B61" w:rsidRPr="00B26BC5" w:rsidRDefault="000A3B61" w:rsidP="00F93308">
      <w:pPr>
        <w:spacing w:before="120" w:after="120" w:line="276" w:lineRule="auto"/>
        <w:jc w:val="both"/>
        <w:rPr>
          <w:rFonts w:ascii="Verdana" w:eastAsia="Verdana" w:hAnsi="Verdana" w:cs="Verdana"/>
          <w:sz w:val="20"/>
          <w:szCs w:val="20"/>
        </w:rPr>
      </w:pPr>
      <w:r w:rsidRPr="00B26BC5">
        <w:rPr>
          <w:rFonts w:ascii="Verdana" w:eastAsia="Verdana" w:hAnsi="Verdana" w:cs="Verdana"/>
          <w:sz w:val="20"/>
          <w:szCs w:val="20"/>
        </w:rPr>
        <w:t xml:space="preserve">Any clarification questions regarding the </w:t>
      </w:r>
      <w:r w:rsidR="007E0008" w:rsidRPr="00B26BC5">
        <w:rPr>
          <w:rFonts w:ascii="Verdana" w:eastAsia="Verdana" w:hAnsi="Verdana" w:cs="Verdana"/>
          <w:sz w:val="20"/>
          <w:szCs w:val="20"/>
        </w:rPr>
        <w:t>terms of reference</w:t>
      </w:r>
      <w:r w:rsidRPr="00B26BC5">
        <w:rPr>
          <w:rFonts w:ascii="Verdana" w:eastAsia="Verdana" w:hAnsi="Verdana" w:cs="Verdana"/>
          <w:sz w:val="20"/>
          <w:szCs w:val="20"/>
        </w:rPr>
        <w:t xml:space="preserve"> should be addressed to</w:t>
      </w:r>
      <w:r w:rsidR="005D7245" w:rsidRPr="00B26BC5">
        <w:rPr>
          <w:rFonts w:ascii="Verdana" w:eastAsia="Verdana" w:hAnsi="Verdana" w:cs="Verdana"/>
          <w:sz w:val="20"/>
          <w:szCs w:val="20"/>
        </w:rPr>
        <w:t xml:space="preserve"> </w:t>
      </w:r>
      <w:r w:rsidR="002B2E8C" w:rsidRPr="00B26BC5">
        <w:rPr>
          <w:rFonts w:ascii="Verdana" w:eastAsia="Verdana" w:hAnsi="Verdana" w:cs="Verdana"/>
          <w:sz w:val="20"/>
          <w:szCs w:val="20"/>
        </w:rPr>
        <w:t>olemir</w:t>
      </w:r>
      <w:r w:rsidR="007E0008" w:rsidRPr="00B26BC5">
        <w:rPr>
          <w:rFonts w:ascii="Verdana" w:eastAsia="Verdana" w:hAnsi="Verdana" w:cs="Verdana"/>
          <w:sz w:val="20"/>
          <w:szCs w:val="20"/>
        </w:rPr>
        <w:t>@um.dk</w:t>
      </w:r>
      <w:r w:rsidRPr="00B26BC5">
        <w:rPr>
          <w:rFonts w:ascii="Verdana" w:eastAsia="Verdana" w:hAnsi="Verdana" w:cs="Verdana"/>
          <w:sz w:val="20"/>
          <w:szCs w:val="20"/>
        </w:rPr>
        <w:t xml:space="preserve">, not later </w:t>
      </w:r>
      <w:r w:rsidRPr="00A84E63">
        <w:rPr>
          <w:rFonts w:ascii="Verdana" w:eastAsia="Verdana" w:hAnsi="Verdana" w:cs="Verdana"/>
          <w:sz w:val="20"/>
          <w:szCs w:val="20"/>
        </w:rPr>
        <w:t xml:space="preserve">than </w:t>
      </w:r>
      <w:r w:rsidR="00A84E63" w:rsidRPr="00A84E63">
        <w:rPr>
          <w:rFonts w:ascii="Verdana" w:eastAsia="Verdana" w:hAnsi="Verdana" w:cs="Verdana"/>
          <w:sz w:val="20"/>
          <w:szCs w:val="20"/>
        </w:rPr>
        <w:t>30 November</w:t>
      </w:r>
      <w:r w:rsidR="007E0008" w:rsidRPr="00A84E63">
        <w:rPr>
          <w:rFonts w:ascii="Verdana" w:eastAsia="Verdana" w:hAnsi="Verdana" w:cs="Verdana"/>
          <w:sz w:val="20"/>
          <w:szCs w:val="20"/>
        </w:rPr>
        <w:t xml:space="preserve">, </w:t>
      </w:r>
      <w:r w:rsidR="00A84E63" w:rsidRPr="00A84E63">
        <w:rPr>
          <w:rFonts w:ascii="Verdana" w:eastAsia="Verdana" w:hAnsi="Verdana" w:cs="Verdana"/>
          <w:sz w:val="20"/>
          <w:szCs w:val="20"/>
        </w:rPr>
        <w:t>12:00</w:t>
      </w:r>
      <w:r w:rsidRPr="00A84E63">
        <w:rPr>
          <w:rFonts w:ascii="Verdana" w:eastAsia="Verdana" w:hAnsi="Verdana" w:cs="Verdana"/>
          <w:sz w:val="20"/>
          <w:szCs w:val="20"/>
        </w:rPr>
        <w:t xml:space="preserve"> Kyiv time.</w:t>
      </w:r>
    </w:p>
    <w:p w14:paraId="6C13E06B" w14:textId="77777777" w:rsidR="002B2E8C" w:rsidRPr="00B26BC5" w:rsidRDefault="002B2E8C" w:rsidP="00F93308">
      <w:pPr>
        <w:spacing w:before="120" w:after="120" w:line="276" w:lineRule="auto"/>
        <w:jc w:val="both"/>
        <w:rPr>
          <w:rFonts w:ascii="Verdana" w:eastAsia="Verdana" w:hAnsi="Verdana" w:cs="Verdana"/>
          <w:sz w:val="20"/>
          <w:szCs w:val="20"/>
        </w:rPr>
      </w:pPr>
    </w:p>
    <w:p w14:paraId="15956994" w14:textId="519554D8" w:rsidR="00F93308" w:rsidRPr="00F93308" w:rsidRDefault="00F93308" w:rsidP="00F93308">
      <w:pPr>
        <w:spacing w:before="120" w:after="120" w:line="276" w:lineRule="auto"/>
        <w:jc w:val="both"/>
        <w:rPr>
          <w:rFonts w:ascii="Verdana" w:eastAsia="Verdana" w:hAnsi="Verdana" w:cs="Verdana"/>
          <w:sz w:val="20"/>
          <w:szCs w:val="20"/>
          <w:lang w:val="en-US"/>
        </w:rPr>
      </w:pPr>
    </w:p>
    <w:sectPr w:rsidR="00F93308" w:rsidRPr="00F93308">
      <w:headerReference w:type="default" r:id="rId13"/>
      <w:footerReference w:type="default" r:id="rId14"/>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5199" w14:textId="77777777" w:rsidR="00F12538" w:rsidRDefault="00F12538">
      <w:r>
        <w:separator/>
      </w:r>
    </w:p>
  </w:endnote>
  <w:endnote w:type="continuationSeparator" w:id="0">
    <w:p w14:paraId="28C6A286" w14:textId="77777777" w:rsidR="00F12538" w:rsidRDefault="00F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sdtContent>
      <w:p w14:paraId="55A6E1B5" w14:textId="55F3418C" w:rsidR="00840125" w:rsidRDefault="00840125">
        <w:pPr>
          <w:pStyle w:val="Footer"/>
          <w:jc w:val="right"/>
        </w:pPr>
        <w:r>
          <w:rPr>
            <w:noProof w:val="0"/>
          </w:rPr>
          <w:fldChar w:fldCharType="begin"/>
        </w:r>
        <w:r>
          <w:instrText xml:space="preserve"> PAGE   \* MERGEFORMAT </w:instrText>
        </w:r>
        <w:r>
          <w:rPr>
            <w:noProof w:val="0"/>
          </w:rPr>
          <w:fldChar w:fldCharType="separate"/>
        </w:r>
        <w:r w:rsidR="007E0008">
          <w:t>1</w:t>
        </w:r>
        <w: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EA2A" w14:textId="77777777" w:rsidR="00F12538" w:rsidRDefault="00F12538">
      <w:r>
        <w:separator/>
      </w:r>
    </w:p>
  </w:footnote>
  <w:footnote w:type="continuationSeparator" w:id="0">
    <w:p w14:paraId="70A9B254" w14:textId="77777777" w:rsidR="00F12538" w:rsidRDefault="00F1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1"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C56CE"/>
    <w:multiLevelType w:val="hybridMultilevel"/>
    <w:tmpl w:val="B68C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445EC"/>
    <w:multiLevelType w:val="hybridMultilevel"/>
    <w:tmpl w:val="7A8CB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C4F19"/>
    <w:multiLevelType w:val="hybridMultilevel"/>
    <w:tmpl w:val="627E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2" w15:restartNumberingAfterBreak="0">
    <w:nsid w:val="3E366D92"/>
    <w:multiLevelType w:val="hybridMultilevel"/>
    <w:tmpl w:val="78921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15F81"/>
    <w:multiLevelType w:val="hybridMultilevel"/>
    <w:tmpl w:val="F080FDE6"/>
    <w:lvl w:ilvl="0" w:tplc="34FC00A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18"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24" w15:restartNumberingAfterBreak="0">
    <w:nsid w:val="58CC42A4"/>
    <w:multiLevelType w:val="multilevel"/>
    <w:tmpl w:val="9208E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A4BD0"/>
    <w:multiLevelType w:val="hybridMultilevel"/>
    <w:tmpl w:val="548A83F6"/>
    <w:lvl w:ilvl="0" w:tplc="34FC00A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436036"/>
    <w:multiLevelType w:val="hybridMultilevel"/>
    <w:tmpl w:val="A3928A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0C62318"/>
    <w:multiLevelType w:val="hybridMultilevel"/>
    <w:tmpl w:val="ED045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7"/>
  </w:num>
  <w:num w:numId="9">
    <w:abstractNumId w:val="23"/>
  </w:num>
  <w:num w:numId="10">
    <w:abstractNumId w:val="25"/>
  </w:num>
  <w:num w:numId="11">
    <w:abstractNumId w:val="16"/>
  </w:num>
  <w:num w:numId="12">
    <w:abstractNumId w:val="18"/>
  </w:num>
  <w:num w:numId="13">
    <w:abstractNumId w:val="2"/>
  </w:num>
  <w:num w:numId="14">
    <w:abstractNumId w:val="20"/>
  </w:num>
  <w:num w:numId="15">
    <w:abstractNumId w:val="3"/>
  </w:num>
  <w:num w:numId="16">
    <w:abstractNumId w:val="6"/>
  </w:num>
  <w:num w:numId="17">
    <w:abstractNumId w:val="28"/>
  </w:num>
  <w:num w:numId="18">
    <w:abstractNumId w:val="26"/>
  </w:num>
  <w:num w:numId="19">
    <w:abstractNumId w:val="22"/>
  </w:num>
  <w:num w:numId="20">
    <w:abstractNumId w:val="34"/>
  </w:num>
  <w:num w:numId="21">
    <w:abstractNumId w:val="33"/>
  </w:num>
  <w:num w:numId="22">
    <w:abstractNumId w:val="9"/>
  </w:num>
  <w:num w:numId="23">
    <w:abstractNumId w:val="5"/>
  </w:num>
  <w:num w:numId="24">
    <w:abstractNumId w:val="19"/>
  </w:num>
  <w:num w:numId="25">
    <w:abstractNumId w:val="8"/>
  </w:num>
  <w:num w:numId="26">
    <w:abstractNumId w:val="13"/>
  </w:num>
  <w:num w:numId="27">
    <w:abstractNumId w:val="32"/>
  </w:num>
  <w:num w:numId="28">
    <w:abstractNumId w:val="21"/>
  </w:num>
  <w:num w:numId="29">
    <w:abstractNumId w:val="10"/>
  </w:num>
  <w:num w:numId="30">
    <w:abstractNumId w:val="7"/>
  </w:num>
  <w:num w:numId="31">
    <w:abstractNumId w:val="31"/>
  </w:num>
  <w:num w:numId="32">
    <w:abstractNumId w:val="4"/>
  </w:num>
  <w:num w:numId="33">
    <w:abstractNumId w:val="29"/>
  </w:num>
  <w:num w:numId="34">
    <w:abstractNumId w:val="12"/>
  </w:num>
  <w:num w:numId="35">
    <w:abstractNumId w:val="14"/>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42F15"/>
    <w:rsid w:val="000951FA"/>
    <w:rsid w:val="000A3B61"/>
    <w:rsid w:val="000C29CA"/>
    <w:rsid w:val="000D3687"/>
    <w:rsid w:val="0010268D"/>
    <w:rsid w:val="00104944"/>
    <w:rsid w:val="001060F5"/>
    <w:rsid w:val="00106869"/>
    <w:rsid w:val="001125D0"/>
    <w:rsid w:val="00131659"/>
    <w:rsid w:val="00133086"/>
    <w:rsid w:val="001553B1"/>
    <w:rsid w:val="0016275B"/>
    <w:rsid w:val="001D743F"/>
    <w:rsid w:val="001E0D8B"/>
    <w:rsid w:val="001E0EE7"/>
    <w:rsid w:val="001E2347"/>
    <w:rsid w:val="002230D5"/>
    <w:rsid w:val="00223D2A"/>
    <w:rsid w:val="0028269B"/>
    <w:rsid w:val="00295C10"/>
    <w:rsid w:val="002A1A2B"/>
    <w:rsid w:val="002B2E8C"/>
    <w:rsid w:val="002D3F53"/>
    <w:rsid w:val="002D4202"/>
    <w:rsid w:val="0031301D"/>
    <w:rsid w:val="00330AC9"/>
    <w:rsid w:val="00340D59"/>
    <w:rsid w:val="00353E39"/>
    <w:rsid w:val="00364886"/>
    <w:rsid w:val="00367D91"/>
    <w:rsid w:val="00374B9E"/>
    <w:rsid w:val="00377607"/>
    <w:rsid w:val="003822CA"/>
    <w:rsid w:val="003B5468"/>
    <w:rsid w:val="003C030F"/>
    <w:rsid w:val="003D48E5"/>
    <w:rsid w:val="003E71E9"/>
    <w:rsid w:val="00420191"/>
    <w:rsid w:val="00423D3A"/>
    <w:rsid w:val="00440600"/>
    <w:rsid w:val="00444082"/>
    <w:rsid w:val="00446B25"/>
    <w:rsid w:val="00455942"/>
    <w:rsid w:val="00490118"/>
    <w:rsid w:val="00496B7D"/>
    <w:rsid w:val="004A5B2C"/>
    <w:rsid w:val="004C2D9D"/>
    <w:rsid w:val="004C54BB"/>
    <w:rsid w:val="004C5AF9"/>
    <w:rsid w:val="004D27C8"/>
    <w:rsid w:val="004D7DEA"/>
    <w:rsid w:val="004E5FB4"/>
    <w:rsid w:val="004F35FC"/>
    <w:rsid w:val="0050383E"/>
    <w:rsid w:val="00517377"/>
    <w:rsid w:val="00524EED"/>
    <w:rsid w:val="00561478"/>
    <w:rsid w:val="00562D47"/>
    <w:rsid w:val="0056323E"/>
    <w:rsid w:val="00565ED7"/>
    <w:rsid w:val="00593EED"/>
    <w:rsid w:val="005D7245"/>
    <w:rsid w:val="006005C5"/>
    <w:rsid w:val="00630D0C"/>
    <w:rsid w:val="006449BD"/>
    <w:rsid w:val="006819C9"/>
    <w:rsid w:val="006D76E3"/>
    <w:rsid w:val="006F7AC1"/>
    <w:rsid w:val="00701D5F"/>
    <w:rsid w:val="00710612"/>
    <w:rsid w:val="007203B4"/>
    <w:rsid w:val="00721A04"/>
    <w:rsid w:val="00722183"/>
    <w:rsid w:val="007801B1"/>
    <w:rsid w:val="00797239"/>
    <w:rsid w:val="007E0008"/>
    <w:rsid w:val="007E2808"/>
    <w:rsid w:val="007F3543"/>
    <w:rsid w:val="0081172E"/>
    <w:rsid w:val="008330F4"/>
    <w:rsid w:val="00840125"/>
    <w:rsid w:val="00890623"/>
    <w:rsid w:val="0089625A"/>
    <w:rsid w:val="008B2BC5"/>
    <w:rsid w:val="008C3609"/>
    <w:rsid w:val="008C3C33"/>
    <w:rsid w:val="008D7747"/>
    <w:rsid w:val="008E637D"/>
    <w:rsid w:val="00931653"/>
    <w:rsid w:val="00933501"/>
    <w:rsid w:val="009413B8"/>
    <w:rsid w:val="00987454"/>
    <w:rsid w:val="009A21CF"/>
    <w:rsid w:val="009A3717"/>
    <w:rsid w:val="009B5DED"/>
    <w:rsid w:val="009C328B"/>
    <w:rsid w:val="009D3312"/>
    <w:rsid w:val="00A31863"/>
    <w:rsid w:val="00A75EF8"/>
    <w:rsid w:val="00A84E63"/>
    <w:rsid w:val="00AB19EF"/>
    <w:rsid w:val="00AF36CB"/>
    <w:rsid w:val="00B146F7"/>
    <w:rsid w:val="00B26BC5"/>
    <w:rsid w:val="00B31BBD"/>
    <w:rsid w:val="00B54E03"/>
    <w:rsid w:val="00B60650"/>
    <w:rsid w:val="00B70483"/>
    <w:rsid w:val="00B8057B"/>
    <w:rsid w:val="00B93DCC"/>
    <w:rsid w:val="00BB2901"/>
    <w:rsid w:val="00BB72CB"/>
    <w:rsid w:val="00BC578D"/>
    <w:rsid w:val="00BC745A"/>
    <w:rsid w:val="00BD26B9"/>
    <w:rsid w:val="00BE0F48"/>
    <w:rsid w:val="00BE60AB"/>
    <w:rsid w:val="00BF5276"/>
    <w:rsid w:val="00C11F73"/>
    <w:rsid w:val="00C31B32"/>
    <w:rsid w:val="00C47494"/>
    <w:rsid w:val="00C66C01"/>
    <w:rsid w:val="00C81222"/>
    <w:rsid w:val="00C84777"/>
    <w:rsid w:val="00CA7520"/>
    <w:rsid w:val="00CC7918"/>
    <w:rsid w:val="00CD5C0F"/>
    <w:rsid w:val="00CE647F"/>
    <w:rsid w:val="00D047CC"/>
    <w:rsid w:val="00D1402C"/>
    <w:rsid w:val="00D20021"/>
    <w:rsid w:val="00D42DF5"/>
    <w:rsid w:val="00D60BB9"/>
    <w:rsid w:val="00D764C2"/>
    <w:rsid w:val="00D8500F"/>
    <w:rsid w:val="00DE3844"/>
    <w:rsid w:val="00E050BF"/>
    <w:rsid w:val="00E10964"/>
    <w:rsid w:val="00E44447"/>
    <w:rsid w:val="00E50501"/>
    <w:rsid w:val="00E8434C"/>
    <w:rsid w:val="00E87E6E"/>
    <w:rsid w:val="00E96025"/>
    <w:rsid w:val="00EC1F83"/>
    <w:rsid w:val="00EE7EA6"/>
    <w:rsid w:val="00F12538"/>
    <w:rsid w:val="00F900F5"/>
    <w:rsid w:val="00F93308"/>
    <w:rsid w:val="00FA0B24"/>
    <w:rsid w:val="00FE091D"/>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character" w:styleId="UnresolvedMention">
    <w:name w:val="Unresolved Mention"/>
    <w:basedOn w:val="DefaultParagraphFont"/>
    <w:uiPriority w:val="99"/>
    <w:semiHidden/>
    <w:unhideWhenUsed/>
    <w:rsid w:val="00B26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23384">
      <w:bodyDiv w:val="1"/>
      <w:marLeft w:val="0"/>
      <w:marRight w:val="0"/>
      <w:marTop w:val="0"/>
      <w:marBottom w:val="0"/>
      <w:divBdr>
        <w:top w:val="none" w:sz="0" w:space="0" w:color="auto"/>
        <w:left w:val="none" w:sz="0" w:space="0" w:color="auto"/>
        <w:bottom w:val="none" w:sz="0" w:space="0" w:color="auto"/>
        <w:right w:val="none" w:sz="0" w:space="0" w:color="auto"/>
      </w:divBdr>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UACI@u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mir@um.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5644AB-8496-4250-BB27-B66A7CF1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Oleksandra Miroshnyk</cp:lastModifiedBy>
  <cp:revision>2</cp:revision>
  <dcterms:created xsi:type="dcterms:W3CDTF">2025-11-20T14:22:00Z</dcterms:created>
  <dcterms:modified xsi:type="dcterms:W3CDTF">2025-11-20T14:22:00Z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