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1CB0" w14:textId="7A845E5A" w:rsidR="00E57F87" w:rsidRDefault="007C0905" w:rsidP="002A1105">
      <w:pP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Terms of Reference for </w:t>
      </w:r>
    </w:p>
    <w:p w14:paraId="0FDC639B" w14:textId="61752B15" w:rsidR="00E57F87" w:rsidRDefault="007C0905" w:rsidP="002A1105">
      <w:pP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Legal</w:t>
      </w:r>
      <w:r w:rsidR="00582FEA">
        <w:rPr>
          <w:rFonts w:ascii="Verdana" w:eastAsia="Verdana" w:hAnsi="Verdana" w:cs="Verdana"/>
          <w:b/>
          <w:color w:val="000000"/>
          <w:sz w:val="20"/>
          <w:szCs w:val="20"/>
        </w:rPr>
        <w:t xml:space="preserve"> and Compliance</w:t>
      </w:r>
      <w:r>
        <w:rPr>
          <w:rFonts w:ascii="Verdana" w:eastAsia="Verdana" w:hAnsi="Verdana" w:cs="Verdana"/>
          <w:b/>
          <w:color w:val="000000"/>
          <w:sz w:val="20"/>
          <w:szCs w:val="20"/>
        </w:rPr>
        <w:t xml:space="preserve"> Expert</w:t>
      </w:r>
    </w:p>
    <w:p w14:paraId="14E5F8B8" w14:textId="77777777" w:rsidR="00E57F87" w:rsidRDefault="007C0905" w:rsidP="002A1105">
      <w:pP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to provide expertise to the State Agency for Restoration </w:t>
      </w:r>
    </w:p>
    <w:p w14:paraId="5583624A" w14:textId="58481D6F" w:rsidR="00E57F87" w:rsidRDefault="007C0905" w:rsidP="002A1105">
      <w:pP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and Development </w:t>
      </w:r>
      <w:r w:rsidR="00582FEA">
        <w:rPr>
          <w:rFonts w:ascii="Verdana" w:eastAsia="Verdana" w:hAnsi="Verdana" w:cs="Verdana"/>
          <w:b/>
          <w:color w:val="000000"/>
          <w:sz w:val="20"/>
          <w:szCs w:val="20"/>
        </w:rPr>
        <w:t xml:space="preserve">of Infrastructure </w:t>
      </w:r>
      <w:r>
        <w:rPr>
          <w:rFonts w:ascii="Verdana" w:eastAsia="Verdana" w:hAnsi="Verdana" w:cs="Verdana"/>
          <w:b/>
          <w:color w:val="000000"/>
          <w:sz w:val="20"/>
          <w:szCs w:val="20"/>
        </w:rPr>
        <w:t xml:space="preserve">of Ukraine </w:t>
      </w:r>
    </w:p>
    <w:p w14:paraId="2C5E9A9C" w14:textId="77777777" w:rsidR="00E57F87" w:rsidRDefault="00E57F87">
      <w:pPr>
        <w:spacing w:after="280"/>
        <w:jc w:val="center"/>
        <w:rPr>
          <w:rFonts w:ascii="Verdana" w:eastAsia="Verdana" w:hAnsi="Verdana" w:cs="Verdana"/>
          <w:b/>
          <w:color w:val="000000"/>
          <w:sz w:val="20"/>
          <w:szCs w:val="20"/>
        </w:rPr>
      </w:pPr>
    </w:p>
    <w:p w14:paraId="445E1176" w14:textId="77777777" w:rsidR="00E57F87" w:rsidRDefault="007C0905">
      <w:pPr>
        <w:spacing w:after="280"/>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r>
        <w:rPr>
          <w:rFonts w:ascii="Verdana" w:eastAsia="Verdana" w:hAnsi="Verdana" w:cs="Verdana"/>
          <w:color w:val="000000"/>
          <w:sz w:val="20"/>
          <w:szCs w:val="20"/>
        </w:rPr>
        <w:t xml:space="preserve"> </w:t>
      </w:r>
    </w:p>
    <w:p w14:paraId="67D0BDF2" w14:textId="0C9CE1CD" w:rsidR="00E57F87" w:rsidRDefault="007C0905" w:rsidP="008B5B58">
      <w:pPr>
        <w:spacing w:after="120"/>
        <w:ind w:firstLine="567"/>
        <w:jc w:val="both"/>
        <w:rPr>
          <w:rFonts w:ascii="Verdana" w:eastAsia="Verdana" w:hAnsi="Verdana" w:cs="Verdana"/>
          <w:color w:val="000000"/>
          <w:sz w:val="20"/>
          <w:szCs w:val="20"/>
        </w:rPr>
      </w:pPr>
      <w:r>
        <w:rPr>
          <w:rFonts w:ascii="Verdana" w:eastAsia="Verdana" w:hAnsi="Verdana" w:cs="Verdana"/>
          <w:sz w:val="20"/>
          <w:szCs w:val="20"/>
        </w:rPr>
        <w:t xml:space="preserve">The European Union Anti-Corruption Initiative (EUACI) is a joint EU and Government of Denmark </w:t>
      </w:r>
      <w:proofErr w:type="spellStart"/>
      <w:r>
        <w:rPr>
          <w:rFonts w:ascii="Verdana" w:eastAsia="Verdana" w:hAnsi="Verdana" w:cs="Verdana"/>
          <w:sz w:val="20"/>
          <w:szCs w:val="20"/>
        </w:rPr>
        <w:t>programme</w:t>
      </w:r>
      <w:proofErr w:type="spellEnd"/>
      <w:r>
        <w:rPr>
          <w:rFonts w:ascii="Verdana" w:eastAsia="Verdana" w:hAnsi="Verdana" w:cs="Verdana"/>
          <w:sz w:val="20"/>
          <w:szCs w:val="20"/>
        </w:rPr>
        <w:t xml:space="preserve"> aimed at assisting Ukraine in reducing corruption at the national and local level through the empowerment of citizens, civil society, businesses and state institutions. </w:t>
      </w:r>
    </w:p>
    <w:p w14:paraId="6C2658F5" w14:textId="2435E354" w:rsidR="00E57F87" w:rsidRDefault="007C0905" w:rsidP="008B5B58">
      <w:pPr>
        <w:spacing w:after="120"/>
        <w:ind w:firstLine="567"/>
        <w:jc w:val="both"/>
        <w:rPr>
          <w:rFonts w:ascii="Verdana" w:eastAsia="Verdana" w:hAnsi="Verdana" w:cs="Verdana"/>
          <w:color w:val="000000"/>
          <w:sz w:val="20"/>
          <w:szCs w:val="20"/>
        </w:rPr>
      </w:pPr>
      <w:r>
        <w:rPr>
          <w:rFonts w:ascii="Verdana" w:eastAsia="Verdana" w:hAnsi="Verdana" w:cs="Verdana"/>
          <w:color w:val="000000"/>
          <w:sz w:val="20"/>
          <w:szCs w:val="20"/>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r>
        <w:rPr>
          <w:rFonts w:ascii="Verdana" w:eastAsia="Verdana" w:hAnsi="Verdana" w:cs="Verdana"/>
          <w:sz w:val="20"/>
          <w:szCs w:val="20"/>
        </w:rPr>
        <w:t xml:space="preserve">The transparency, integrity and accountability of Ukraine’s recovery </w:t>
      </w:r>
      <w:r w:rsidR="000776D4">
        <w:rPr>
          <w:rFonts w:ascii="Verdana" w:eastAsia="Verdana" w:hAnsi="Verdana" w:cs="Verdana"/>
          <w:sz w:val="20"/>
          <w:szCs w:val="20"/>
        </w:rPr>
        <w:t xml:space="preserve">process </w:t>
      </w:r>
      <w:r>
        <w:rPr>
          <w:rFonts w:ascii="Verdana" w:eastAsia="Verdana" w:hAnsi="Verdana" w:cs="Verdana"/>
          <w:sz w:val="20"/>
          <w:szCs w:val="20"/>
        </w:rPr>
        <w:t xml:space="preserve">is one of the key topics of the EUACI. The Ministry </w:t>
      </w:r>
      <w:r w:rsidR="005205BB">
        <w:rPr>
          <w:rFonts w:ascii="Verdana" w:eastAsia="Verdana" w:hAnsi="Verdana" w:cs="Verdana"/>
          <w:sz w:val="20"/>
          <w:szCs w:val="20"/>
        </w:rPr>
        <w:t xml:space="preserve">for </w:t>
      </w:r>
      <w:r w:rsidR="0073391F">
        <w:rPr>
          <w:rFonts w:ascii="Verdana" w:eastAsia="Verdana" w:hAnsi="Verdana" w:cs="Verdana"/>
          <w:sz w:val="20"/>
          <w:szCs w:val="20"/>
        </w:rPr>
        <w:t xml:space="preserve">Development of </w:t>
      </w:r>
      <w:r>
        <w:rPr>
          <w:rFonts w:ascii="Verdana" w:eastAsia="Verdana" w:hAnsi="Verdana" w:cs="Verdana"/>
          <w:sz w:val="20"/>
          <w:szCs w:val="20"/>
        </w:rPr>
        <w:t xml:space="preserve">Communities and Territories of Ukraine (the Ministry) and the State Agency for Restoration and Development of </w:t>
      </w:r>
      <w:r w:rsidR="0073391F">
        <w:rPr>
          <w:rFonts w:ascii="Verdana" w:eastAsia="Verdana" w:hAnsi="Verdana" w:cs="Verdana"/>
          <w:sz w:val="20"/>
          <w:szCs w:val="20"/>
        </w:rPr>
        <w:t xml:space="preserve">Infrastructure of </w:t>
      </w:r>
      <w:r>
        <w:rPr>
          <w:rFonts w:ascii="Verdana" w:eastAsia="Verdana" w:hAnsi="Verdana" w:cs="Verdana"/>
          <w:sz w:val="20"/>
          <w:szCs w:val="20"/>
        </w:rPr>
        <w:t>Ukraine (the Agency) are the key counterpart</w:t>
      </w:r>
      <w:r w:rsidR="0073391F">
        <w:rPr>
          <w:rFonts w:ascii="Verdana" w:eastAsia="Verdana" w:hAnsi="Verdana" w:cs="Verdana"/>
          <w:sz w:val="20"/>
          <w:szCs w:val="20"/>
        </w:rPr>
        <w:t>s</w:t>
      </w:r>
      <w:r>
        <w:rPr>
          <w:rFonts w:ascii="Verdana" w:eastAsia="Verdana" w:hAnsi="Verdana" w:cs="Verdana"/>
          <w:sz w:val="20"/>
          <w:szCs w:val="20"/>
        </w:rPr>
        <w:t xml:space="preserve"> of the EUACI in this area.</w:t>
      </w:r>
    </w:p>
    <w:p w14:paraId="3D110535" w14:textId="0DABD9F7" w:rsidR="00E57F87" w:rsidRDefault="007C0905" w:rsidP="008B5B58">
      <w:pPr>
        <w:spacing w:after="120"/>
        <w:ind w:firstLine="567"/>
        <w:jc w:val="both"/>
        <w:rPr>
          <w:rFonts w:ascii="Verdana" w:eastAsia="Verdana" w:hAnsi="Verdana" w:cs="Verdana"/>
          <w:sz w:val="20"/>
          <w:szCs w:val="20"/>
        </w:rPr>
      </w:pPr>
      <w:r>
        <w:rPr>
          <w:rFonts w:ascii="Verdana" w:eastAsia="Verdana" w:hAnsi="Verdana" w:cs="Verdana"/>
          <w:sz w:val="20"/>
          <w:szCs w:val="20"/>
        </w:rPr>
        <w:t>As the recovery process involves massive national and international resources, it is key to have a coordinated policy framework to ensure that these funds are managed responsibly and support Ukraine's long-term commitment to good governance and sustainable development.</w:t>
      </w:r>
      <w:r w:rsidR="0073391F">
        <w:rPr>
          <w:rFonts w:ascii="Verdana" w:eastAsia="Verdana" w:hAnsi="Verdana" w:cs="Verdana"/>
          <w:sz w:val="20"/>
          <w:szCs w:val="20"/>
        </w:rPr>
        <w:t xml:space="preserve"> </w:t>
      </w:r>
      <w:r>
        <w:rPr>
          <w:rFonts w:ascii="Verdana" w:eastAsia="Verdana" w:hAnsi="Verdana" w:cs="Verdana"/>
          <w:sz w:val="20"/>
          <w:szCs w:val="20"/>
        </w:rPr>
        <w:t xml:space="preserve">The Agency has </w:t>
      </w:r>
      <w:r w:rsidR="005205BB">
        <w:rPr>
          <w:rFonts w:ascii="Verdana" w:eastAsia="Verdana" w:hAnsi="Verdana" w:cs="Verdana"/>
          <w:sz w:val="20"/>
          <w:szCs w:val="20"/>
        </w:rPr>
        <w:t>established</w:t>
      </w:r>
      <w:r>
        <w:rPr>
          <w:rFonts w:ascii="Verdana" w:eastAsia="Verdana" w:hAnsi="Verdana" w:cs="Verdana"/>
          <w:sz w:val="20"/>
          <w:szCs w:val="20"/>
        </w:rPr>
        <w:t xml:space="preserve"> Capacity </w:t>
      </w:r>
      <w:r w:rsidR="0073391F">
        <w:rPr>
          <w:rFonts w:ascii="Verdana" w:eastAsia="Verdana" w:hAnsi="Verdana" w:cs="Verdana"/>
          <w:sz w:val="20"/>
          <w:szCs w:val="20"/>
        </w:rPr>
        <w:t>Development</w:t>
      </w:r>
      <w:r>
        <w:rPr>
          <w:rFonts w:ascii="Verdana" w:eastAsia="Verdana" w:hAnsi="Verdana" w:cs="Verdana"/>
          <w:sz w:val="20"/>
          <w:szCs w:val="20"/>
        </w:rPr>
        <w:t xml:space="preserve"> Office supported by international </w:t>
      </w:r>
      <w:proofErr w:type="spellStart"/>
      <w:r>
        <w:rPr>
          <w:rFonts w:ascii="Verdana" w:eastAsia="Verdana" w:hAnsi="Verdana" w:cs="Verdana"/>
          <w:sz w:val="20"/>
          <w:szCs w:val="20"/>
        </w:rPr>
        <w:t>organisations</w:t>
      </w:r>
      <w:proofErr w:type="spellEnd"/>
      <w:r>
        <w:rPr>
          <w:rFonts w:ascii="Verdana" w:eastAsia="Verdana" w:hAnsi="Verdana" w:cs="Verdana"/>
          <w:sz w:val="20"/>
          <w:szCs w:val="20"/>
        </w:rPr>
        <w:t xml:space="preserve"> and partners to support the Agency in projects implementation and strategic planning and capacity development. </w:t>
      </w:r>
      <w:r w:rsidR="005205BB">
        <w:rPr>
          <w:rFonts w:ascii="Verdana" w:eastAsia="Verdana" w:hAnsi="Verdana" w:cs="Verdana"/>
          <w:sz w:val="20"/>
          <w:szCs w:val="20"/>
        </w:rPr>
        <w:t>The EUACI provide expert support as well for transparency and efficiency of reconstruction process.</w:t>
      </w:r>
    </w:p>
    <w:p w14:paraId="51019905" w14:textId="77777777" w:rsidR="00E57F87" w:rsidRDefault="007C0905">
      <w:pPr>
        <w:spacing w:after="280"/>
        <w:jc w:val="both"/>
        <w:rPr>
          <w:rFonts w:ascii="Verdana" w:eastAsia="Verdana" w:hAnsi="Verdana" w:cs="Verdana"/>
          <w:color w:val="000000"/>
          <w:sz w:val="20"/>
          <w:szCs w:val="20"/>
        </w:rPr>
      </w:pPr>
      <w:r>
        <w:rPr>
          <w:rFonts w:ascii="Verdana" w:eastAsia="Verdana" w:hAnsi="Verdana" w:cs="Verdana"/>
          <w:b/>
          <w:color w:val="000000"/>
          <w:sz w:val="20"/>
          <w:szCs w:val="20"/>
        </w:rPr>
        <w:t>Objective</w:t>
      </w:r>
    </w:p>
    <w:p w14:paraId="4D25F451" w14:textId="2CE7786F" w:rsidR="00582FEA" w:rsidRPr="00582FEA" w:rsidRDefault="00582FEA" w:rsidP="00582FEA">
      <w:pPr>
        <w:spacing w:after="280"/>
        <w:ind w:firstLine="567"/>
        <w:jc w:val="both"/>
        <w:rPr>
          <w:rFonts w:ascii="Verdana" w:eastAsia="Verdana" w:hAnsi="Verdana" w:cs="Verdana"/>
          <w:sz w:val="20"/>
          <w:szCs w:val="20"/>
        </w:rPr>
      </w:pPr>
      <w:r w:rsidRPr="00582FEA">
        <w:rPr>
          <w:rFonts w:ascii="Verdana" w:eastAsia="Verdana" w:hAnsi="Verdana" w:cs="Verdana"/>
          <w:sz w:val="20"/>
          <w:szCs w:val="20"/>
        </w:rPr>
        <w:t xml:space="preserve">The objective of this assignment is to provide legal expertise in the development, review, and implementation of regulatory and legal documents related to reconstruction activities. This includes ensuring compliance with national and international legal standards, mitigating legal </w:t>
      </w:r>
      <w:r w:rsidR="00636BCB">
        <w:rPr>
          <w:rFonts w:ascii="Verdana" w:eastAsia="Verdana" w:hAnsi="Verdana" w:cs="Verdana"/>
          <w:sz w:val="20"/>
          <w:szCs w:val="20"/>
        </w:rPr>
        <w:t xml:space="preserve">and corruption </w:t>
      </w:r>
      <w:r w:rsidRPr="00582FEA">
        <w:rPr>
          <w:rFonts w:ascii="Verdana" w:eastAsia="Verdana" w:hAnsi="Verdana" w:cs="Verdana"/>
          <w:sz w:val="20"/>
          <w:szCs w:val="20"/>
        </w:rPr>
        <w:t xml:space="preserve">risks, and strengthening transparency and accountability within the Agency and its Regional Offices for Restoration (RORs). The expert will analyze the legislative framework, propose regulatory improvements, and support the implementation of anti-corruption policies. </w:t>
      </w:r>
    </w:p>
    <w:p w14:paraId="441AAAB5" w14:textId="77777777" w:rsidR="00582FEA" w:rsidRPr="00582FEA" w:rsidRDefault="00582FEA" w:rsidP="00582FEA">
      <w:pPr>
        <w:pStyle w:val="Overskrift3"/>
        <w:rPr>
          <w:rFonts w:ascii="Verdana" w:hAnsi="Verdana"/>
          <w:sz w:val="20"/>
          <w:szCs w:val="20"/>
        </w:rPr>
      </w:pPr>
      <w:r w:rsidRPr="00582FEA">
        <w:rPr>
          <w:rStyle w:val="Strk"/>
          <w:rFonts w:ascii="Verdana" w:hAnsi="Verdana"/>
          <w:b/>
          <w:bCs w:val="0"/>
          <w:sz w:val="20"/>
          <w:szCs w:val="20"/>
        </w:rPr>
        <w:t>Scope of Work</w:t>
      </w:r>
    </w:p>
    <w:p w14:paraId="4E13AF14" w14:textId="77777777" w:rsidR="00582FEA" w:rsidRPr="00582FEA" w:rsidRDefault="00582FEA" w:rsidP="00582FEA">
      <w:pPr>
        <w:pStyle w:val="NormalWeb"/>
        <w:rPr>
          <w:rFonts w:ascii="Verdana" w:hAnsi="Verdana"/>
          <w:sz w:val="20"/>
          <w:szCs w:val="20"/>
        </w:rPr>
      </w:pPr>
      <w:r w:rsidRPr="00582FEA">
        <w:rPr>
          <w:rFonts w:ascii="Verdana" w:hAnsi="Verdana"/>
          <w:sz w:val="20"/>
          <w:szCs w:val="20"/>
        </w:rPr>
        <w:t>The scope of work includes, but is not limited to:</w:t>
      </w:r>
    </w:p>
    <w:p w14:paraId="7FAEFBC9" w14:textId="05FD334F" w:rsidR="00D84E2B" w:rsidRDefault="00582FEA" w:rsidP="00D84E2B">
      <w:pPr>
        <w:numPr>
          <w:ilvl w:val="0"/>
          <w:numId w:val="6"/>
        </w:numPr>
        <w:spacing w:before="100" w:beforeAutospacing="1" w:after="100" w:afterAutospacing="1"/>
        <w:rPr>
          <w:rFonts w:ascii="Verdana" w:hAnsi="Verdana"/>
          <w:sz w:val="20"/>
          <w:szCs w:val="20"/>
        </w:rPr>
      </w:pPr>
      <w:bookmarkStart w:id="0" w:name="_Hlk194928715"/>
      <w:r w:rsidRPr="00582FEA">
        <w:rPr>
          <w:rFonts w:ascii="Verdana" w:hAnsi="Verdana"/>
          <w:sz w:val="20"/>
          <w:szCs w:val="20"/>
        </w:rPr>
        <w:t>Conducting legal analyses</w:t>
      </w:r>
      <w:r w:rsidR="003D708B">
        <w:rPr>
          <w:rFonts w:ascii="Verdana" w:hAnsi="Verdana"/>
          <w:sz w:val="20"/>
          <w:szCs w:val="20"/>
        </w:rPr>
        <w:t xml:space="preserve"> and risks assessment</w:t>
      </w:r>
      <w:r w:rsidR="00636BCB">
        <w:rPr>
          <w:rFonts w:ascii="Verdana" w:hAnsi="Verdana"/>
          <w:sz w:val="20"/>
          <w:szCs w:val="20"/>
        </w:rPr>
        <w:t>, including corruption risks,</w:t>
      </w:r>
      <w:r w:rsidRPr="00582FEA">
        <w:rPr>
          <w:rFonts w:ascii="Verdana" w:hAnsi="Verdana"/>
          <w:sz w:val="20"/>
          <w:szCs w:val="20"/>
        </w:rPr>
        <w:t xml:space="preserve"> of </w:t>
      </w:r>
      <w:r w:rsidR="003D708B" w:rsidRPr="003D708B">
        <w:rPr>
          <w:rFonts w:ascii="Verdana" w:hAnsi="Verdana"/>
          <w:sz w:val="20"/>
          <w:szCs w:val="20"/>
        </w:rPr>
        <w:t>draft of legal documents</w:t>
      </w:r>
      <w:r w:rsidR="003D708B" w:rsidRPr="003D708B" w:rsidDel="003D708B">
        <w:rPr>
          <w:rFonts w:ascii="Verdana" w:hAnsi="Verdana"/>
          <w:sz w:val="20"/>
          <w:szCs w:val="20"/>
        </w:rPr>
        <w:t xml:space="preserve"> </w:t>
      </w:r>
      <w:r w:rsidR="003D708B">
        <w:rPr>
          <w:rFonts w:ascii="Verdana" w:hAnsi="Verdana"/>
          <w:sz w:val="20"/>
          <w:szCs w:val="20"/>
        </w:rPr>
        <w:t>(Orders, CMU resolutions, laws etc.)</w:t>
      </w:r>
      <w:r w:rsidR="00D84E2B">
        <w:rPr>
          <w:rFonts w:ascii="Verdana" w:hAnsi="Verdana"/>
          <w:sz w:val="20"/>
          <w:szCs w:val="20"/>
        </w:rPr>
        <w:t xml:space="preserve"> for the </w:t>
      </w:r>
      <w:r w:rsidRPr="00582FEA">
        <w:rPr>
          <w:rFonts w:ascii="Verdana" w:hAnsi="Verdana"/>
          <w:sz w:val="20"/>
          <w:szCs w:val="20"/>
        </w:rPr>
        <w:t>reconstruction process</w:t>
      </w:r>
      <w:r w:rsidR="00D84E2B">
        <w:rPr>
          <w:rFonts w:ascii="Verdana" w:hAnsi="Verdana"/>
          <w:sz w:val="20"/>
          <w:szCs w:val="20"/>
        </w:rPr>
        <w:t xml:space="preserve"> </w:t>
      </w:r>
      <w:r w:rsidRPr="00582FEA">
        <w:rPr>
          <w:rFonts w:ascii="Verdana" w:hAnsi="Verdana"/>
          <w:sz w:val="20"/>
          <w:szCs w:val="20"/>
        </w:rPr>
        <w:t>and involved entities.</w:t>
      </w:r>
      <w:r w:rsidR="00D84E2B" w:rsidRPr="00D84E2B">
        <w:rPr>
          <w:rFonts w:ascii="Verdana" w:hAnsi="Verdana"/>
          <w:sz w:val="20"/>
          <w:szCs w:val="20"/>
        </w:rPr>
        <w:t xml:space="preserve"> </w:t>
      </w:r>
    </w:p>
    <w:p w14:paraId="64307D7C" w14:textId="0567FC57" w:rsidR="00582FEA" w:rsidRPr="00D84E2B" w:rsidRDefault="00D84E2B" w:rsidP="00D84E2B">
      <w:pPr>
        <w:numPr>
          <w:ilvl w:val="0"/>
          <w:numId w:val="6"/>
        </w:numPr>
        <w:spacing w:before="100" w:beforeAutospacing="1" w:after="100" w:afterAutospacing="1"/>
        <w:rPr>
          <w:rFonts w:ascii="Verdana" w:hAnsi="Verdana"/>
          <w:sz w:val="20"/>
          <w:szCs w:val="20"/>
        </w:rPr>
      </w:pPr>
      <w:r w:rsidRPr="00582FEA">
        <w:rPr>
          <w:rFonts w:ascii="Verdana" w:hAnsi="Verdana"/>
          <w:sz w:val="20"/>
          <w:szCs w:val="20"/>
        </w:rPr>
        <w:t xml:space="preserve">Assessing the legislative framework governing reconstruction, identifying gaps, and </w:t>
      </w:r>
      <w:r w:rsidR="00BC0232">
        <w:rPr>
          <w:rFonts w:ascii="Verdana" w:hAnsi="Verdana"/>
          <w:sz w:val="20"/>
          <w:szCs w:val="20"/>
        </w:rPr>
        <w:t>corruption risks</w:t>
      </w:r>
      <w:r w:rsidRPr="00582FEA">
        <w:rPr>
          <w:rFonts w:ascii="Verdana" w:hAnsi="Verdana"/>
          <w:sz w:val="20"/>
          <w:szCs w:val="20"/>
        </w:rPr>
        <w:t>.</w:t>
      </w:r>
    </w:p>
    <w:p w14:paraId="1F9A805F" w14:textId="77777777" w:rsidR="00582FEA" w:rsidRPr="00582FEA" w:rsidRDefault="00582FEA" w:rsidP="00582FEA">
      <w:pPr>
        <w:numPr>
          <w:ilvl w:val="0"/>
          <w:numId w:val="6"/>
        </w:numPr>
        <w:spacing w:before="100" w:beforeAutospacing="1" w:after="100" w:afterAutospacing="1"/>
        <w:rPr>
          <w:rFonts w:ascii="Verdana" w:hAnsi="Verdana"/>
          <w:sz w:val="20"/>
          <w:szCs w:val="20"/>
        </w:rPr>
      </w:pPr>
      <w:r w:rsidRPr="00582FEA">
        <w:rPr>
          <w:rFonts w:ascii="Verdana" w:hAnsi="Verdana"/>
          <w:sz w:val="20"/>
          <w:szCs w:val="20"/>
        </w:rPr>
        <w:t>Monitoring legislative changes affecting reconstruction and ensuring necessary legal adjustments.</w:t>
      </w:r>
    </w:p>
    <w:p w14:paraId="053B8A98" w14:textId="200AF66C" w:rsidR="00582FEA" w:rsidRPr="00582FEA" w:rsidRDefault="00582FEA" w:rsidP="00582FEA">
      <w:pPr>
        <w:numPr>
          <w:ilvl w:val="0"/>
          <w:numId w:val="6"/>
        </w:numPr>
        <w:spacing w:before="100" w:beforeAutospacing="1" w:after="100" w:afterAutospacing="1"/>
        <w:rPr>
          <w:rFonts w:ascii="Verdana" w:hAnsi="Verdana"/>
          <w:sz w:val="20"/>
          <w:szCs w:val="20"/>
        </w:rPr>
      </w:pPr>
      <w:r w:rsidRPr="00582FEA">
        <w:rPr>
          <w:rFonts w:ascii="Verdana" w:hAnsi="Verdana"/>
          <w:sz w:val="20"/>
          <w:szCs w:val="20"/>
        </w:rPr>
        <w:lastRenderedPageBreak/>
        <w:t>Preparing legal opinions and recommendations to address regulatory challenges</w:t>
      </w:r>
      <w:r w:rsidR="00BC0232">
        <w:rPr>
          <w:rFonts w:ascii="Verdana" w:hAnsi="Verdana"/>
          <w:sz w:val="20"/>
          <w:szCs w:val="20"/>
        </w:rPr>
        <w:t xml:space="preserve"> and corruption risks</w:t>
      </w:r>
      <w:r w:rsidRPr="00582FEA">
        <w:rPr>
          <w:rFonts w:ascii="Verdana" w:hAnsi="Verdana"/>
          <w:sz w:val="20"/>
          <w:szCs w:val="20"/>
        </w:rPr>
        <w:t>.</w:t>
      </w:r>
    </w:p>
    <w:p w14:paraId="584097AC" w14:textId="5DA614D8" w:rsidR="00582FEA" w:rsidRDefault="00582FEA" w:rsidP="00582FEA">
      <w:pPr>
        <w:numPr>
          <w:ilvl w:val="0"/>
          <w:numId w:val="6"/>
        </w:numPr>
        <w:spacing w:before="100" w:beforeAutospacing="1" w:after="100" w:afterAutospacing="1"/>
        <w:rPr>
          <w:rFonts w:ascii="Verdana" w:hAnsi="Verdana"/>
          <w:sz w:val="20"/>
          <w:szCs w:val="20"/>
        </w:rPr>
      </w:pPr>
      <w:r w:rsidRPr="00582FEA">
        <w:rPr>
          <w:rFonts w:ascii="Verdana" w:hAnsi="Verdana"/>
          <w:sz w:val="20"/>
          <w:szCs w:val="20"/>
        </w:rPr>
        <w:t>Collaborating with internal departments, government officials, and international partners to align legal and regulatory aspects of restoration projects.</w:t>
      </w:r>
    </w:p>
    <w:p w14:paraId="477A96AF" w14:textId="24D80DC3" w:rsidR="00636BCB" w:rsidRPr="00582FEA" w:rsidRDefault="00636BCB" w:rsidP="00582FEA">
      <w:pPr>
        <w:numPr>
          <w:ilvl w:val="0"/>
          <w:numId w:val="6"/>
        </w:numPr>
        <w:spacing w:before="100" w:beforeAutospacing="1" w:after="100" w:afterAutospacing="1"/>
        <w:rPr>
          <w:rFonts w:ascii="Verdana" w:hAnsi="Verdana"/>
          <w:sz w:val="20"/>
          <w:szCs w:val="20"/>
        </w:rPr>
      </w:pPr>
      <w:r>
        <w:rPr>
          <w:rFonts w:ascii="Verdana" w:hAnsi="Verdana"/>
          <w:sz w:val="20"/>
          <w:szCs w:val="20"/>
        </w:rPr>
        <w:t xml:space="preserve">Ensuring close engagement and coordination with the EUACI team. </w:t>
      </w:r>
    </w:p>
    <w:p w14:paraId="1BA7659F" w14:textId="574C9352" w:rsidR="0027297B" w:rsidRPr="0027297B" w:rsidRDefault="00582FEA" w:rsidP="0027297B">
      <w:pPr>
        <w:numPr>
          <w:ilvl w:val="0"/>
          <w:numId w:val="6"/>
        </w:numPr>
        <w:spacing w:before="100" w:beforeAutospacing="1" w:after="100" w:afterAutospacing="1"/>
        <w:rPr>
          <w:rFonts w:ascii="Verdana" w:hAnsi="Verdana"/>
          <w:sz w:val="20"/>
          <w:szCs w:val="20"/>
        </w:rPr>
      </w:pPr>
      <w:r w:rsidRPr="00582FEA">
        <w:rPr>
          <w:rFonts w:ascii="Verdana" w:hAnsi="Verdana"/>
          <w:sz w:val="20"/>
          <w:szCs w:val="20"/>
        </w:rPr>
        <w:t>Performing other related tasks as required.</w:t>
      </w:r>
    </w:p>
    <w:bookmarkEnd w:id="0"/>
    <w:p w14:paraId="3CABC1D9" w14:textId="732FA2BE" w:rsidR="000A206C" w:rsidRPr="000A206C" w:rsidRDefault="000A206C" w:rsidP="000A206C">
      <w:pPr>
        <w:spacing w:after="100" w:afterAutospacing="1"/>
        <w:ind w:firstLine="720"/>
        <w:jc w:val="both"/>
        <w:rPr>
          <w:rFonts w:ascii="Verdana" w:eastAsia="Verdana" w:hAnsi="Verdana" w:cs="Verdana"/>
          <w:color w:val="000000"/>
          <w:sz w:val="20"/>
          <w:szCs w:val="20"/>
        </w:rPr>
      </w:pPr>
      <w:r w:rsidRPr="000A206C">
        <w:rPr>
          <w:rFonts w:ascii="Verdana" w:eastAsia="Verdana" w:hAnsi="Verdana" w:cs="Verdana"/>
          <w:color w:val="000000"/>
          <w:sz w:val="20"/>
          <w:szCs w:val="20"/>
        </w:rPr>
        <w:t xml:space="preserve">The contractor reports to the </w:t>
      </w:r>
      <w:r>
        <w:rPr>
          <w:rFonts w:ascii="Verdana" w:eastAsia="Verdana" w:hAnsi="Verdana" w:cs="Verdana"/>
          <w:color w:val="000000"/>
          <w:sz w:val="20"/>
          <w:szCs w:val="20"/>
        </w:rPr>
        <w:t xml:space="preserve">First Deputy of the Head of the </w:t>
      </w:r>
      <w:r w:rsidRPr="000A206C">
        <w:rPr>
          <w:rFonts w:ascii="Verdana" w:eastAsia="Verdana" w:hAnsi="Verdana" w:cs="Verdana"/>
          <w:color w:val="000000"/>
          <w:sz w:val="20"/>
          <w:szCs w:val="20"/>
        </w:rPr>
        <w:t>Agency</w:t>
      </w:r>
      <w:r>
        <w:rPr>
          <w:rFonts w:ascii="Verdana" w:eastAsia="Verdana" w:hAnsi="Verdana" w:cs="Verdana"/>
          <w:color w:val="000000"/>
          <w:sz w:val="20"/>
          <w:szCs w:val="20"/>
        </w:rPr>
        <w:t xml:space="preserve"> and the </w:t>
      </w:r>
      <w:r w:rsidRPr="000A206C">
        <w:rPr>
          <w:rFonts w:ascii="Verdana" w:eastAsia="Verdana" w:hAnsi="Verdana" w:cs="Verdana"/>
          <w:color w:val="000000"/>
          <w:sz w:val="20"/>
          <w:szCs w:val="20"/>
        </w:rPr>
        <w:t>EUACI</w:t>
      </w:r>
      <w:r>
        <w:rPr>
          <w:rFonts w:ascii="Verdana" w:eastAsia="Verdana" w:hAnsi="Verdana" w:cs="Verdana"/>
          <w:color w:val="000000"/>
          <w:sz w:val="20"/>
          <w:szCs w:val="20"/>
        </w:rPr>
        <w:t xml:space="preserve"> Integrity</w:t>
      </w:r>
      <w:r w:rsidRPr="000A206C">
        <w:rPr>
          <w:rFonts w:ascii="Verdana" w:eastAsia="Verdana" w:hAnsi="Verdana" w:cs="Verdana"/>
          <w:color w:val="000000"/>
          <w:sz w:val="20"/>
          <w:szCs w:val="20"/>
        </w:rPr>
        <w:t xml:space="preserve"> </w:t>
      </w:r>
      <w:r>
        <w:rPr>
          <w:rFonts w:ascii="Verdana" w:eastAsia="Verdana" w:hAnsi="Verdana" w:cs="Verdana"/>
          <w:color w:val="000000"/>
          <w:sz w:val="20"/>
          <w:szCs w:val="20"/>
        </w:rPr>
        <w:t>Reconstruction Team</w:t>
      </w:r>
      <w:r w:rsidRPr="000A206C">
        <w:rPr>
          <w:rFonts w:ascii="Verdana" w:eastAsia="Verdana" w:hAnsi="Verdana" w:cs="Verdana"/>
          <w:color w:val="000000"/>
          <w:sz w:val="20"/>
          <w:szCs w:val="20"/>
        </w:rPr>
        <w:t>.</w:t>
      </w:r>
      <w:r w:rsidRPr="000A206C">
        <w:rPr>
          <w:rFonts w:ascii="Verdana" w:eastAsia="Verdana" w:hAnsi="Verdana" w:cs="Verdana"/>
          <w:color w:val="000000"/>
          <w:sz w:val="20"/>
          <w:szCs w:val="20"/>
          <w:lang w:val="uk-UA"/>
        </w:rPr>
        <w:t xml:space="preserve"> </w:t>
      </w:r>
      <w:r w:rsidRPr="000A206C">
        <w:rPr>
          <w:rFonts w:ascii="Verdana" w:eastAsia="Verdana" w:hAnsi="Verdana" w:cs="Verdana"/>
          <w:color w:val="000000"/>
          <w:sz w:val="20"/>
          <w:szCs w:val="20"/>
        </w:rPr>
        <w:t>The contractor shall de-brief the EUACI prior to finalizing the assignment. Regularly planning and reporting sessions with the representative and EUACI are expected.</w:t>
      </w:r>
    </w:p>
    <w:p w14:paraId="2B985D7E" w14:textId="2FBCA29B" w:rsidR="00582FEA" w:rsidRDefault="00582FEA" w:rsidP="00582FEA">
      <w:pPr>
        <w:pStyle w:val="Overskrift3"/>
        <w:rPr>
          <w:rStyle w:val="Strk"/>
          <w:rFonts w:ascii="Verdana" w:hAnsi="Verdana"/>
          <w:b/>
          <w:bCs w:val="0"/>
          <w:sz w:val="20"/>
          <w:szCs w:val="20"/>
        </w:rPr>
      </w:pPr>
      <w:r w:rsidRPr="00582FEA">
        <w:rPr>
          <w:rStyle w:val="Strk"/>
          <w:rFonts w:ascii="Verdana" w:hAnsi="Verdana"/>
          <w:b/>
          <w:bCs w:val="0"/>
          <w:sz w:val="20"/>
          <w:szCs w:val="20"/>
        </w:rPr>
        <w:t>Expected Deliverables</w:t>
      </w:r>
    </w:p>
    <w:p w14:paraId="0DAE71CA" w14:textId="785000FC" w:rsidR="008B5B58" w:rsidRDefault="008B5B58" w:rsidP="008B5B58"/>
    <w:tbl>
      <w:tblPr>
        <w:tblStyle w:val="Tabel-Gitter"/>
        <w:tblW w:w="0" w:type="auto"/>
        <w:tblLook w:val="04A0" w:firstRow="1" w:lastRow="0" w:firstColumn="1" w:lastColumn="0" w:noHBand="0" w:noVBand="1"/>
      </w:tblPr>
      <w:tblGrid>
        <w:gridCol w:w="421"/>
        <w:gridCol w:w="4037"/>
        <w:gridCol w:w="2369"/>
        <w:gridCol w:w="2519"/>
      </w:tblGrid>
      <w:tr w:rsidR="008B5B58" w:rsidRPr="00C329E5" w14:paraId="120E7F11" w14:textId="77777777" w:rsidTr="00B115FE">
        <w:tc>
          <w:tcPr>
            <w:tcW w:w="421" w:type="dxa"/>
          </w:tcPr>
          <w:p w14:paraId="0C3FAFCB" w14:textId="77777777" w:rsidR="008B5B58" w:rsidRPr="00C329E5" w:rsidRDefault="008B5B58" w:rsidP="008B5B58">
            <w:pPr>
              <w:spacing w:before="40"/>
              <w:rPr>
                <w:rFonts w:ascii="Verdana" w:hAnsi="Verdana"/>
                <w:b/>
                <w:sz w:val="16"/>
                <w:szCs w:val="16"/>
              </w:rPr>
            </w:pPr>
            <w:r w:rsidRPr="00C329E5">
              <w:rPr>
                <w:rFonts w:ascii="Verdana" w:hAnsi="Verdana"/>
                <w:b/>
                <w:sz w:val="16"/>
                <w:szCs w:val="16"/>
              </w:rPr>
              <w:t>#</w:t>
            </w:r>
          </w:p>
        </w:tc>
        <w:tc>
          <w:tcPr>
            <w:tcW w:w="4037" w:type="dxa"/>
          </w:tcPr>
          <w:p w14:paraId="0247BB98" w14:textId="77777777" w:rsidR="008B5B58" w:rsidRPr="00C329E5" w:rsidRDefault="008B5B58" w:rsidP="008B5B58">
            <w:pPr>
              <w:spacing w:before="40"/>
              <w:rPr>
                <w:rFonts w:ascii="Verdana" w:hAnsi="Verdana"/>
                <w:b/>
                <w:sz w:val="16"/>
                <w:szCs w:val="16"/>
              </w:rPr>
            </w:pPr>
            <w:proofErr w:type="spellStart"/>
            <w:r w:rsidRPr="00C329E5">
              <w:rPr>
                <w:rFonts w:ascii="Verdana" w:hAnsi="Verdana"/>
                <w:b/>
                <w:sz w:val="16"/>
                <w:szCs w:val="16"/>
              </w:rPr>
              <w:t>Deliverable</w:t>
            </w:r>
            <w:proofErr w:type="spellEnd"/>
            <w:r w:rsidRPr="00C329E5">
              <w:rPr>
                <w:rFonts w:ascii="Verdana" w:hAnsi="Verdana"/>
                <w:b/>
                <w:sz w:val="16"/>
                <w:szCs w:val="16"/>
              </w:rPr>
              <w:t>/Output</w:t>
            </w:r>
          </w:p>
        </w:tc>
        <w:tc>
          <w:tcPr>
            <w:tcW w:w="2369" w:type="dxa"/>
          </w:tcPr>
          <w:p w14:paraId="14F45637" w14:textId="77777777" w:rsidR="008B5B58" w:rsidRPr="00C329E5" w:rsidRDefault="008B5B58" w:rsidP="008B5B58">
            <w:pPr>
              <w:spacing w:before="40"/>
              <w:rPr>
                <w:rFonts w:ascii="Verdana" w:hAnsi="Verdana"/>
                <w:b/>
                <w:sz w:val="16"/>
                <w:szCs w:val="16"/>
              </w:rPr>
            </w:pPr>
            <w:r w:rsidRPr="00C329E5">
              <w:rPr>
                <w:rFonts w:ascii="Verdana" w:hAnsi="Verdana"/>
                <w:b/>
                <w:sz w:val="16"/>
                <w:szCs w:val="16"/>
              </w:rPr>
              <w:t>Target Timeline/Due Dates</w:t>
            </w:r>
          </w:p>
        </w:tc>
        <w:tc>
          <w:tcPr>
            <w:tcW w:w="2519" w:type="dxa"/>
          </w:tcPr>
          <w:p w14:paraId="7C9C44F6" w14:textId="77777777" w:rsidR="008B5B58" w:rsidRPr="00C329E5" w:rsidRDefault="008B5B58" w:rsidP="008B5B58">
            <w:pPr>
              <w:spacing w:before="40"/>
              <w:rPr>
                <w:rFonts w:ascii="Verdana" w:hAnsi="Verdana"/>
                <w:b/>
                <w:sz w:val="16"/>
                <w:szCs w:val="16"/>
              </w:rPr>
            </w:pPr>
            <w:r w:rsidRPr="00C329E5">
              <w:rPr>
                <w:rFonts w:ascii="Verdana" w:hAnsi="Verdana"/>
                <w:b/>
                <w:sz w:val="16"/>
                <w:szCs w:val="16"/>
              </w:rPr>
              <w:t>Review/</w:t>
            </w:r>
            <w:proofErr w:type="spellStart"/>
            <w:r w:rsidRPr="00C329E5">
              <w:rPr>
                <w:rFonts w:ascii="Verdana" w:hAnsi="Verdana"/>
                <w:b/>
                <w:sz w:val="16"/>
                <w:szCs w:val="16"/>
              </w:rPr>
              <w:t>Approval</w:t>
            </w:r>
            <w:proofErr w:type="spellEnd"/>
          </w:p>
        </w:tc>
      </w:tr>
      <w:tr w:rsidR="008B5B58" w:rsidRPr="000A206C" w14:paraId="1B17258C" w14:textId="77777777" w:rsidTr="00B115FE">
        <w:tc>
          <w:tcPr>
            <w:tcW w:w="421" w:type="dxa"/>
          </w:tcPr>
          <w:p w14:paraId="5DE27557" w14:textId="4B2B9713" w:rsidR="008B5B58" w:rsidRPr="000A206C" w:rsidRDefault="00A34E62" w:rsidP="008B5B58">
            <w:pPr>
              <w:spacing w:before="40"/>
              <w:jc w:val="center"/>
              <w:rPr>
                <w:rFonts w:ascii="Verdana" w:hAnsi="Verdana"/>
                <w:bCs/>
                <w:sz w:val="18"/>
                <w:szCs w:val="18"/>
              </w:rPr>
            </w:pPr>
            <w:r w:rsidRPr="000A206C">
              <w:rPr>
                <w:rFonts w:ascii="Verdana" w:hAnsi="Verdana"/>
                <w:bCs/>
                <w:sz w:val="18"/>
                <w:szCs w:val="18"/>
              </w:rPr>
              <w:t>1</w:t>
            </w:r>
          </w:p>
        </w:tc>
        <w:tc>
          <w:tcPr>
            <w:tcW w:w="4037" w:type="dxa"/>
          </w:tcPr>
          <w:p w14:paraId="53BC6292" w14:textId="51B33268" w:rsidR="008B5B58" w:rsidRPr="000A206C" w:rsidRDefault="008B5B58" w:rsidP="008B5B58">
            <w:pPr>
              <w:spacing w:before="40"/>
              <w:rPr>
                <w:rFonts w:ascii="Verdana" w:hAnsi="Verdana"/>
                <w:sz w:val="18"/>
                <w:szCs w:val="18"/>
                <w:lang w:val="en-GB"/>
              </w:rPr>
            </w:pPr>
            <w:r w:rsidRPr="000A206C">
              <w:rPr>
                <w:rFonts w:ascii="Verdana" w:hAnsi="Verdana"/>
                <w:sz w:val="18"/>
                <w:szCs w:val="18"/>
                <w:lang w:val="en-GB"/>
              </w:rPr>
              <w:t xml:space="preserve">Monitoring reports on legislation changes </w:t>
            </w:r>
            <w:r w:rsidR="0028336D" w:rsidRPr="000A206C">
              <w:rPr>
                <w:rFonts w:ascii="Verdana" w:hAnsi="Verdana"/>
                <w:sz w:val="18"/>
                <w:szCs w:val="18"/>
                <w:lang w:val="en-GB"/>
              </w:rPr>
              <w:t>on construction</w:t>
            </w:r>
            <w:r w:rsidRPr="000A206C">
              <w:rPr>
                <w:rFonts w:ascii="Verdana" w:hAnsi="Verdana"/>
                <w:sz w:val="18"/>
                <w:szCs w:val="18"/>
                <w:lang w:val="en-GB"/>
              </w:rPr>
              <w:t xml:space="preserve">/reconstruction </w:t>
            </w:r>
          </w:p>
        </w:tc>
        <w:tc>
          <w:tcPr>
            <w:tcW w:w="2369" w:type="dxa"/>
          </w:tcPr>
          <w:p w14:paraId="7D1E5E51" w14:textId="77777777" w:rsidR="008B5B58" w:rsidRPr="000A206C" w:rsidRDefault="008B5B58" w:rsidP="008B5B58">
            <w:pPr>
              <w:spacing w:before="40"/>
              <w:rPr>
                <w:rFonts w:ascii="Verdana" w:hAnsi="Verdana"/>
                <w:sz w:val="18"/>
                <w:szCs w:val="18"/>
                <w:lang w:val="en-GB"/>
              </w:rPr>
            </w:pPr>
            <w:r w:rsidRPr="000A206C">
              <w:rPr>
                <w:rFonts w:ascii="Verdana" w:hAnsi="Verdana"/>
                <w:sz w:val="18"/>
                <w:szCs w:val="18"/>
                <w:lang w:val="en-GB"/>
              </w:rPr>
              <w:t>Monthly</w:t>
            </w:r>
          </w:p>
        </w:tc>
        <w:tc>
          <w:tcPr>
            <w:tcW w:w="2519" w:type="dxa"/>
          </w:tcPr>
          <w:p w14:paraId="11153D1E" w14:textId="77777777" w:rsidR="008B5B58" w:rsidRPr="000A206C" w:rsidRDefault="008B5B58" w:rsidP="008B5B58">
            <w:pPr>
              <w:spacing w:before="40"/>
              <w:rPr>
                <w:rFonts w:ascii="Verdana" w:hAnsi="Verdana"/>
                <w:sz w:val="18"/>
                <w:szCs w:val="18"/>
                <w:lang w:val="en-GB"/>
              </w:rPr>
            </w:pPr>
            <w:r w:rsidRPr="000A206C">
              <w:rPr>
                <w:rFonts w:ascii="Verdana" w:hAnsi="Verdana"/>
                <w:sz w:val="18"/>
                <w:szCs w:val="18"/>
                <w:lang w:val="en-GB"/>
              </w:rPr>
              <w:t>Area 2 Team</w:t>
            </w:r>
          </w:p>
          <w:p w14:paraId="76D66CC1" w14:textId="77777777" w:rsidR="008B5B58" w:rsidRPr="000A206C" w:rsidRDefault="008B5B58" w:rsidP="008B5B58">
            <w:pPr>
              <w:spacing w:before="40"/>
              <w:rPr>
                <w:rFonts w:ascii="Verdana" w:hAnsi="Verdana"/>
                <w:b/>
                <w:sz w:val="18"/>
                <w:szCs w:val="18"/>
                <w:lang w:val="en-GB"/>
              </w:rPr>
            </w:pPr>
            <w:r w:rsidRPr="000A206C">
              <w:rPr>
                <w:rFonts w:ascii="Verdana" w:hAnsi="Verdana"/>
                <w:sz w:val="18"/>
                <w:szCs w:val="18"/>
                <w:lang w:val="en-GB"/>
              </w:rPr>
              <w:t>Deputy Head of the Agency</w:t>
            </w:r>
          </w:p>
        </w:tc>
      </w:tr>
      <w:tr w:rsidR="008B5B58" w:rsidRPr="000A206C" w14:paraId="54FFF225" w14:textId="77777777" w:rsidTr="00B115FE">
        <w:tc>
          <w:tcPr>
            <w:tcW w:w="421" w:type="dxa"/>
          </w:tcPr>
          <w:p w14:paraId="62082208" w14:textId="240B6085" w:rsidR="008B5B58" w:rsidRPr="000A206C" w:rsidRDefault="00A34E62" w:rsidP="008B5B58">
            <w:pPr>
              <w:spacing w:before="40"/>
              <w:jc w:val="center"/>
              <w:rPr>
                <w:rFonts w:ascii="Verdana" w:hAnsi="Verdana"/>
                <w:bCs/>
                <w:sz w:val="18"/>
                <w:szCs w:val="18"/>
                <w:lang w:val="en-GB"/>
              </w:rPr>
            </w:pPr>
            <w:r w:rsidRPr="000A206C">
              <w:rPr>
                <w:rFonts w:ascii="Verdana" w:hAnsi="Verdana"/>
                <w:bCs/>
                <w:sz w:val="18"/>
                <w:szCs w:val="18"/>
                <w:lang w:val="en-GB"/>
              </w:rPr>
              <w:t>2</w:t>
            </w:r>
          </w:p>
        </w:tc>
        <w:tc>
          <w:tcPr>
            <w:tcW w:w="4037" w:type="dxa"/>
          </w:tcPr>
          <w:p w14:paraId="6D0E7342" w14:textId="77777777" w:rsidR="008B5B58" w:rsidRPr="000A206C" w:rsidRDefault="008B5B58" w:rsidP="008B5B58">
            <w:pPr>
              <w:spacing w:before="40"/>
              <w:rPr>
                <w:rFonts w:ascii="Verdana" w:hAnsi="Verdana"/>
                <w:sz w:val="18"/>
                <w:szCs w:val="18"/>
                <w:lang w:val="en-GB"/>
              </w:rPr>
            </w:pPr>
            <w:r w:rsidRPr="000A206C">
              <w:rPr>
                <w:rFonts w:ascii="Verdana" w:hAnsi="Verdana"/>
                <w:sz w:val="18"/>
                <w:szCs w:val="18"/>
                <w:lang w:val="en-GB"/>
              </w:rPr>
              <w:t>Monthly reports, summarising actual days worked and expenses incurred with reference to the agreed work plans and invoices</w:t>
            </w:r>
          </w:p>
        </w:tc>
        <w:tc>
          <w:tcPr>
            <w:tcW w:w="2369" w:type="dxa"/>
          </w:tcPr>
          <w:p w14:paraId="5E688976" w14:textId="77777777" w:rsidR="008B5B58" w:rsidRPr="000A206C" w:rsidRDefault="008B5B58" w:rsidP="008B5B58">
            <w:pPr>
              <w:spacing w:before="40"/>
              <w:rPr>
                <w:rFonts w:ascii="Verdana" w:hAnsi="Verdana"/>
                <w:sz w:val="18"/>
                <w:szCs w:val="18"/>
                <w:lang w:val="en-GB"/>
              </w:rPr>
            </w:pPr>
            <w:r w:rsidRPr="000A206C">
              <w:rPr>
                <w:rFonts w:ascii="Verdana" w:hAnsi="Verdana"/>
                <w:sz w:val="18"/>
                <w:szCs w:val="18"/>
                <w:lang w:val="en-GB"/>
              </w:rPr>
              <w:t>Monthly</w:t>
            </w:r>
          </w:p>
        </w:tc>
        <w:tc>
          <w:tcPr>
            <w:tcW w:w="2519" w:type="dxa"/>
          </w:tcPr>
          <w:p w14:paraId="6B6E4FA7" w14:textId="77777777" w:rsidR="008B5B58" w:rsidRPr="000A206C" w:rsidRDefault="008B5B58" w:rsidP="008B5B58">
            <w:pPr>
              <w:spacing w:before="40"/>
              <w:rPr>
                <w:rFonts w:ascii="Verdana" w:hAnsi="Verdana"/>
                <w:sz w:val="18"/>
                <w:szCs w:val="18"/>
                <w:lang w:val="en-GB"/>
              </w:rPr>
            </w:pPr>
            <w:r w:rsidRPr="000A206C">
              <w:rPr>
                <w:rFonts w:ascii="Verdana" w:hAnsi="Verdana"/>
                <w:sz w:val="18"/>
                <w:szCs w:val="18"/>
                <w:lang w:val="en-GB"/>
              </w:rPr>
              <w:t>Area 2 Team</w:t>
            </w:r>
          </w:p>
          <w:p w14:paraId="01F2A711" w14:textId="77777777" w:rsidR="008B5B58" w:rsidRPr="000A206C" w:rsidRDefault="008B5B58" w:rsidP="008B5B58">
            <w:pPr>
              <w:spacing w:before="40"/>
              <w:rPr>
                <w:rFonts w:ascii="Verdana" w:hAnsi="Verdana"/>
                <w:b/>
                <w:sz w:val="18"/>
                <w:szCs w:val="18"/>
                <w:lang w:val="en-GB"/>
              </w:rPr>
            </w:pPr>
          </w:p>
        </w:tc>
      </w:tr>
      <w:tr w:rsidR="008B5B58" w:rsidRPr="000A206C" w14:paraId="59344BFB" w14:textId="77777777" w:rsidTr="00B115FE">
        <w:tc>
          <w:tcPr>
            <w:tcW w:w="421" w:type="dxa"/>
          </w:tcPr>
          <w:p w14:paraId="752C78C8" w14:textId="2526A777" w:rsidR="008B5B58" w:rsidRPr="000A206C" w:rsidRDefault="00A34E62" w:rsidP="008B5B58">
            <w:pPr>
              <w:spacing w:before="40"/>
              <w:jc w:val="center"/>
              <w:rPr>
                <w:rFonts w:ascii="Verdana" w:hAnsi="Verdana"/>
                <w:bCs/>
                <w:sz w:val="18"/>
                <w:szCs w:val="18"/>
                <w:lang w:val="en-GB"/>
              </w:rPr>
            </w:pPr>
            <w:r w:rsidRPr="000A206C">
              <w:rPr>
                <w:rFonts w:ascii="Verdana" w:hAnsi="Verdana"/>
                <w:bCs/>
                <w:sz w:val="18"/>
                <w:szCs w:val="18"/>
                <w:lang w:val="en-GB"/>
              </w:rPr>
              <w:t>3</w:t>
            </w:r>
          </w:p>
        </w:tc>
        <w:tc>
          <w:tcPr>
            <w:tcW w:w="4037" w:type="dxa"/>
          </w:tcPr>
          <w:p w14:paraId="46229A39" w14:textId="1F3AAEC6" w:rsidR="008B5B58" w:rsidRPr="000A206C" w:rsidRDefault="008B5B58" w:rsidP="008B5B58">
            <w:pPr>
              <w:spacing w:before="40"/>
              <w:rPr>
                <w:rFonts w:ascii="Verdana" w:hAnsi="Verdana"/>
                <w:sz w:val="18"/>
                <w:szCs w:val="18"/>
                <w:lang w:val="en-GB"/>
              </w:rPr>
            </w:pPr>
            <w:r w:rsidRPr="000A206C">
              <w:rPr>
                <w:rFonts w:ascii="Verdana" w:hAnsi="Verdana"/>
                <w:sz w:val="18"/>
                <w:szCs w:val="18"/>
                <w:lang w:val="en-GB"/>
              </w:rPr>
              <w:t>Report on legal analyses</w:t>
            </w:r>
            <w:r w:rsidR="00BC0232" w:rsidRPr="000A206C">
              <w:rPr>
                <w:rFonts w:ascii="Verdana" w:hAnsi="Verdana"/>
                <w:sz w:val="18"/>
                <w:szCs w:val="18"/>
                <w:lang w:val="en-GB"/>
              </w:rPr>
              <w:t xml:space="preserve"> and corruption risks </w:t>
            </w:r>
            <w:r w:rsidR="003D708B" w:rsidRPr="000A206C">
              <w:rPr>
                <w:rFonts w:ascii="Verdana" w:hAnsi="Verdana"/>
                <w:sz w:val="18"/>
                <w:szCs w:val="18"/>
                <w:lang w:val="en-GB"/>
              </w:rPr>
              <w:t>assessment of</w:t>
            </w:r>
            <w:r w:rsidR="00BC0232" w:rsidRPr="000A206C">
              <w:rPr>
                <w:rFonts w:ascii="Verdana" w:hAnsi="Verdana"/>
                <w:sz w:val="18"/>
                <w:szCs w:val="18"/>
                <w:lang w:val="en-GB"/>
              </w:rPr>
              <w:t xml:space="preserve"> draft</w:t>
            </w:r>
            <w:r w:rsidR="003D708B" w:rsidRPr="000A206C">
              <w:rPr>
                <w:rFonts w:ascii="Verdana" w:hAnsi="Verdana"/>
                <w:sz w:val="18"/>
                <w:szCs w:val="18"/>
                <w:lang w:val="en-GB"/>
              </w:rPr>
              <w:t xml:space="preserve"> of</w:t>
            </w:r>
            <w:r w:rsidR="00BC0232" w:rsidRPr="000A206C">
              <w:rPr>
                <w:rFonts w:ascii="Verdana" w:hAnsi="Verdana"/>
                <w:sz w:val="18"/>
                <w:szCs w:val="18"/>
                <w:lang w:val="en-GB"/>
              </w:rPr>
              <w:t xml:space="preserve"> legal documents</w:t>
            </w:r>
            <w:r w:rsidR="003D708B" w:rsidRPr="000A206C">
              <w:rPr>
                <w:rFonts w:ascii="Verdana" w:hAnsi="Verdana"/>
                <w:sz w:val="18"/>
                <w:szCs w:val="18"/>
                <w:lang w:val="en-GB"/>
              </w:rPr>
              <w:t>: orders, CMU resolutions</w:t>
            </w:r>
            <w:r w:rsidR="00BC0232" w:rsidRPr="000A206C">
              <w:rPr>
                <w:rFonts w:ascii="Verdana" w:hAnsi="Verdana"/>
                <w:sz w:val="18"/>
                <w:szCs w:val="18"/>
                <w:lang w:val="en-GB"/>
              </w:rPr>
              <w:t xml:space="preserve"> (no less than </w:t>
            </w:r>
            <w:r w:rsidR="003D708B" w:rsidRPr="000A206C">
              <w:rPr>
                <w:rFonts w:ascii="Verdana" w:hAnsi="Verdana"/>
                <w:sz w:val="18"/>
                <w:szCs w:val="18"/>
                <w:lang w:val="en-GB"/>
              </w:rPr>
              <w:t>24</w:t>
            </w:r>
            <w:r w:rsidR="00BC0232" w:rsidRPr="000A206C">
              <w:rPr>
                <w:rFonts w:ascii="Verdana" w:hAnsi="Verdana"/>
                <w:sz w:val="18"/>
                <w:szCs w:val="18"/>
                <w:lang w:val="en-GB"/>
              </w:rPr>
              <w:t xml:space="preserve"> documents)</w:t>
            </w:r>
          </w:p>
        </w:tc>
        <w:tc>
          <w:tcPr>
            <w:tcW w:w="2369" w:type="dxa"/>
          </w:tcPr>
          <w:p w14:paraId="3883696E" w14:textId="77777777" w:rsidR="008B5B58" w:rsidRPr="000A206C" w:rsidRDefault="008B5B58" w:rsidP="008B5B58">
            <w:pPr>
              <w:spacing w:before="40"/>
              <w:rPr>
                <w:rFonts w:ascii="Verdana" w:hAnsi="Verdana"/>
                <w:sz w:val="18"/>
                <w:szCs w:val="18"/>
                <w:lang w:val="en-GB"/>
              </w:rPr>
            </w:pPr>
            <w:r w:rsidRPr="000A206C">
              <w:rPr>
                <w:rFonts w:ascii="Verdana" w:hAnsi="Verdana"/>
                <w:sz w:val="18"/>
                <w:szCs w:val="18"/>
                <w:lang w:val="en-GB"/>
              </w:rPr>
              <w:t xml:space="preserve">June 2025, </w:t>
            </w:r>
          </w:p>
          <w:p w14:paraId="247069F1" w14:textId="77777777" w:rsidR="008B5B58" w:rsidRPr="000A206C" w:rsidRDefault="008B5B58" w:rsidP="008B5B58">
            <w:pPr>
              <w:spacing w:before="40"/>
              <w:rPr>
                <w:rFonts w:ascii="Verdana" w:hAnsi="Verdana"/>
                <w:sz w:val="18"/>
                <w:szCs w:val="18"/>
                <w:lang w:val="en-GB"/>
              </w:rPr>
            </w:pPr>
            <w:r w:rsidRPr="000A206C">
              <w:rPr>
                <w:rFonts w:ascii="Verdana" w:hAnsi="Verdana"/>
                <w:sz w:val="18"/>
                <w:szCs w:val="18"/>
                <w:lang w:val="en-GB"/>
              </w:rPr>
              <w:t>November 2025</w:t>
            </w:r>
          </w:p>
        </w:tc>
        <w:tc>
          <w:tcPr>
            <w:tcW w:w="2519" w:type="dxa"/>
          </w:tcPr>
          <w:p w14:paraId="079D193F" w14:textId="77777777" w:rsidR="008B5B58" w:rsidRPr="000A206C" w:rsidRDefault="008B5B58" w:rsidP="008B5B58">
            <w:pPr>
              <w:spacing w:before="40"/>
              <w:rPr>
                <w:rFonts w:ascii="Verdana" w:hAnsi="Verdana"/>
                <w:sz w:val="18"/>
                <w:szCs w:val="18"/>
                <w:lang w:val="en-GB"/>
              </w:rPr>
            </w:pPr>
            <w:r w:rsidRPr="000A206C">
              <w:rPr>
                <w:rFonts w:ascii="Verdana" w:hAnsi="Verdana"/>
                <w:sz w:val="18"/>
                <w:szCs w:val="18"/>
                <w:lang w:val="en-GB"/>
              </w:rPr>
              <w:t>Area 2 Team</w:t>
            </w:r>
          </w:p>
          <w:p w14:paraId="30DE3F6F" w14:textId="77777777" w:rsidR="008B5B58" w:rsidRPr="000A206C" w:rsidRDefault="008B5B58" w:rsidP="008B5B58">
            <w:pPr>
              <w:spacing w:before="40"/>
              <w:rPr>
                <w:rFonts w:ascii="Verdana" w:hAnsi="Verdana"/>
                <w:b/>
                <w:sz w:val="18"/>
                <w:szCs w:val="18"/>
                <w:lang w:val="en-GB"/>
              </w:rPr>
            </w:pPr>
            <w:r w:rsidRPr="000A206C">
              <w:rPr>
                <w:rFonts w:ascii="Verdana" w:hAnsi="Verdana"/>
                <w:sz w:val="18"/>
                <w:szCs w:val="18"/>
                <w:lang w:val="en-GB"/>
              </w:rPr>
              <w:t>Deputy Head of the Agency</w:t>
            </w:r>
          </w:p>
        </w:tc>
      </w:tr>
      <w:tr w:rsidR="008B5B58" w:rsidRPr="000A206C" w14:paraId="13ED058A" w14:textId="77777777" w:rsidTr="00B115FE">
        <w:tc>
          <w:tcPr>
            <w:tcW w:w="421" w:type="dxa"/>
          </w:tcPr>
          <w:p w14:paraId="4653C109" w14:textId="4EE4CC74" w:rsidR="008B5B58" w:rsidRPr="000A206C" w:rsidRDefault="00A34E62" w:rsidP="008B5B58">
            <w:pPr>
              <w:spacing w:before="40"/>
              <w:jc w:val="center"/>
              <w:rPr>
                <w:rFonts w:ascii="Verdana" w:hAnsi="Verdana"/>
                <w:bCs/>
                <w:sz w:val="18"/>
                <w:szCs w:val="18"/>
                <w:lang w:val="en-GB"/>
              </w:rPr>
            </w:pPr>
            <w:r w:rsidRPr="000A206C">
              <w:rPr>
                <w:rFonts w:ascii="Verdana" w:hAnsi="Verdana"/>
                <w:bCs/>
                <w:sz w:val="18"/>
                <w:szCs w:val="18"/>
                <w:lang w:val="en-GB"/>
              </w:rPr>
              <w:t>4</w:t>
            </w:r>
          </w:p>
        </w:tc>
        <w:tc>
          <w:tcPr>
            <w:tcW w:w="4037" w:type="dxa"/>
          </w:tcPr>
          <w:p w14:paraId="162162D8" w14:textId="7ECA131F" w:rsidR="008B5B58" w:rsidRPr="000A206C" w:rsidRDefault="008B5B58" w:rsidP="008B5B58">
            <w:pPr>
              <w:spacing w:before="40"/>
              <w:rPr>
                <w:rFonts w:ascii="Verdana" w:hAnsi="Verdana"/>
                <w:sz w:val="18"/>
                <w:szCs w:val="18"/>
                <w:lang w:val="en-GB"/>
              </w:rPr>
            </w:pPr>
            <w:r w:rsidRPr="000A206C">
              <w:rPr>
                <w:rFonts w:ascii="Verdana" w:hAnsi="Verdana"/>
                <w:sz w:val="18"/>
                <w:szCs w:val="18"/>
                <w:lang w:val="en-GB"/>
              </w:rPr>
              <w:t xml:space="preserve">Legal opinions and recommendations on </w:t>
            </w:r>
            <w:r w:rsidR="00543651" w:rsidRPr="000A206C">
              <w:rPr>
                <w:rFonts w:ascii="Verdana" w:hAnsi="Verdana"/>
                <w:sz w:val="18"/>
                <w:szCs w:val="18"/>
                <w:lang w:val="en-GB"/>
              </w:rPr>
              <w:t xml:space="preserve">minimisation of </w:t>
            </w:r>
            <w:r w:rsidRPr="000A206C">
              <w:rPr>
                <w:rFonts w:ascii="Verdana" w:hAnsi="Verdana"/>
                <w:sz w:val="18"/>
                <w:szCs w:val="18"/>
                <w:lang w:val="en-GB"/>
              </w:rPr>
              <w:t xml:space="preserve">regulatory </w:t>
            </w:r>
            <w:r w:rsidR="00BC0232" w:rsidRPr="000A206C">
              <w:rPr>
                <w:rFonts w:ascii="Verdana" w:hAnsi="Verdana"/>
                <w:sz w:val="18"/>
                <w:szCs w:val="18"/>
                <w:lang w:val="en-GB"/>
              </w:rPr>
              <w:t xml:space="preserve">challenges and corruption risks (no less than </w:t>
            </w:r>
            <w:r w:rsidR="003D708B" w:rsidRPr="000A206C">
              <w:rPr>
                <w:rFonts w:ascii="Verdana" w:hAnsi="Verdana"/>
                <w:sz w:val="18"/>
                <w:szCs w:val="18"/>
                <w:lang w:val="en-GB"/>
              </w:rPr>
              <w:t>24</w:t>
            </w:r>
            <w:r w:rsidR="00BC0232" w:rsidRPr="000A206C">
              <w:rPr>
                <w:rFonts w:ascii="Verdana" w:hAnsi="Verdana"/>
                <w:sz w:val="18"/>
                <w:szCs w:val="18"/>
                <w:lang w:val="en-GB"/>
              </w:rPr>
              <w:t xml:space="preserve"> reports)</w:t>
            </w:r>
          </w:p>
        </w:tc>
        <w:tc>
          <w:tcPr>
            <w:tcW w:w="2369" w:type="dxa"/>
          </w:tcPr>
          <w:p w14:paraId="19D9B384" w14:textId="77777777" w:rsidR="008B5B58" w:rsidRPr="000A206C" w:rsidRDefault="008B5B58" w:rsidP="008B5B58">
            <w:pPr>
              <w:spacing w:before="40"/>
              <w:rPr>
                <w:rFonts w:ascii="Verdana" w:hAnsi="Verdana"/>
                <w:sz w:val="18"/>
                <w:szCs w:val="18"/>
                <w:lang w:val="en-GB"/>
              </w:rPr>
            </w:pPr>
            <w:r w:rsidRPr="000A206C">
              <w:rPr>
                <w:rFonts w:ascii="Verdana" w:hAnsi="Verdana"/>
                <w:sz w:val="18"/>
                <w:szCs w:val="18"/>
                <w:lang w:val="en-GB"/>
              </w:rPr>
              <w:t>June 2025</w:t>
            </w:r>
          </w:p>
          <w:p w14:paraId="4FC88786" w14:textId="77777777" w:rsidR="008B5B58" w:rsidRPr="000A206C" w:rsidRDefault="008B5B58" w:rsidP="008B5B58">
            <w:pPr>
              <w:spacing w:before="40"/>
              <w:rPr>
                <w:rFonts w:ascii="Verdana" w:hAnsi="Verdana"/>
                <w:sz w:val="18"/>
                <w:szCs w:val="18"/>
                <w:lang w:val="en-GB"/>
              </w:rPr>
            </w:pPr>
            <w:r w:rsidRPr="000A206C">
              <w:rPr>
                <w:rFonts w:ascii="Verdana" w:hAnsi="Verdana"/>
                <w:sz w:val="18"/>
                <w:szCs w:val="18"/>
                <w:lang w:val="en-GB"/>
              </w:rPr>
              <w:t>October 2025</w:t>
            </w:r>
          </w:p>
        </w:tc>
        <w:tc>
          <w:tcPr>
            <w:tcW w:w="2519" w:type="dxa"/>
          </w:tcPr>
          <w:p w14:paraId="5B03FED6" w14:textId="77777777" w:rsidR="008B5B58" w:rsidRPr="000A206C" w:rsidRDefault="008B5B58" w:rsidP="008B5B58">
            <w:pPr>
              <w:spacing w:before="40"/>
              <w:rPr>
                <w:rFonts w:ascii="Verdana" w:hAnsi="Verdana"/>
                <w:sz w:val="18"/>
                <w:szCs w:val="18"/>
                <w:lang w:val="en-GB"/>
              </w:rPr>
            </w:pPr>
            <w:r w:rsidRPr="000A206C">
              <w:rPr>
                <w:rFonts w:ascii="Verdana" w:hAnsi="Verdana"/>
                <w:sz w:val="18"/>
                <w:szCs w:val="18"/>
                <w:lang w:val="en-GB"/>
              </w:rPr>
              <w:t>Area 2 Team</w:t>
            </w:r>
          </w:p>
          <w:p w14:paraId="43544BCE" w14:textId="77777777" w:rsidR="008B5B58" w:rsidRPr="000A206C" w:rsidRDefault="008B5B58" w:rsidP="008B5B58">
            <w:pPr>
              <w:spacing w:before="40"/>
              <w:rPr>
                <w:rFonts w:ascii="Verdana" w:hAnsi="Verdana"/>
                <w:b/>
                <w:sz w:val="18"/>
                <w:szCs w:val="18"/>
                <w:lang w:val="en-GB"/>
              </w:rPr>
            </w:pPr>
            <w:r w:rsidRPr="000A206C">
              <w:rPr>
                <w:rFonts w:ascii="Verdana" w:hAnsi="Verdana"/>
                <w:sz w:val="18"/>
                <w:szCs w:val="18"/>
                <w:lang w:val="en-GB"/>
              </w:rPr>
              <w:t>Deputy Head of the Agency</w:t>
            </w:r>
          </w:p>
        </w:tc>
      </w:tr>
    </w:tbl>
    <w:p w14:paraId="3042C300" w14:textId="77777777" w:rsidR="008B5B58" w:rsidRPr="008B5B58" w:rsidRDefault="008B5B58" w:rsidP="008B5B58"/>
    <w:p w14:paraId="6EC0745C" w14:textId="734413AA" w:rsidR="00E57F87" w:rsidRDefault="007C0905" w:rsidP="008B5B58">
      <w:pPr>
        <w:shd w:val="clear" w:color="auto" w:fill="FFFFFF"/>
        <w:spacing w:after="160"/>
        <w:jc w:val="both"/>
        <w:rPr>
          <w:rFonts w:ascii="Verdana" w:eastAsia="Verdana" w:hAnsi="Verdana" w:cs="Verdana"/>
          <w:b/>
          <w:color w:val="000000"/>
          <w:sz w:val="20"/>
          <w:szCs w:val="20"/>
        </w:rPr>
      </w:pPr>
      <w:r>
        <w:rPr>
          <w:rFonts w:ascii="Verdana" w:eastAsia="Verdana" w:hAnsi="Verdana" w:cs="Verdana"/>
          <w:b/>
          <w:color w:val="000000"/>
          <w:sz w:val="20"/>
          <w:szCs w:val="20"/>
        </w:rPr>
        <w:t>Timeline</w:t>
      </w:r>
    </w:p>
    <w:p w14:paraId="683CEB39" w14:textId="59E8F5DE" w:rsidR="00E57F87" w:rsidRDefault="007C0905" w:rsidP="008B5B58">
      <w:pPr>
        <w:widowControl w:val="0"/>
        <w:pBdr>
          <w:top w:val="nil"/>
          <w:left w:val="nil"/>
          <w:bottom w:val="nil"/>
          <w:right w:val="nil"/>
          <w:between w:val="nil"/>
        </w:pBdr>
        <w:spacing w:after="160"/>
        <w:ind w:firstLine="567"/>
        <w:jc w:val="both"/>
        <w:rPr>
          <w:rFonts w:ascii="Verdana" w:eastAsia="Verdana" w:hAnsi="Verdana" w:cs="Verdana"/>
          <w:color w:val="000000"/>
          <w:sz w:val="20"/>
          <w:szCs w:val="20"/>
        </w:rPr>
      </w:pPr>
      <w:bookmarkStart w:id="1" w:name="_Hlk190873862"/>
      <w:r>
        <w:rPr>
          <w:rFonts w:ascii="Verdana" w:eastAsia="Verdana" w:hAnsi="Verdana" w:cs="Verdana"/>
          <w:color w:val="000000"/>
          <w:sz w:val="20"/>
          <w:szCs w:val="20"/>
        </w:rPr>
        <w:t>The intended commencement date is the date of signature of the contract (</w:t>
      </w:r>
      <w:r w:rsidR="0073391F">
        <w:rPr>
          <w:rFonts w:ascii="Verdana" w:eastAsia="Verdana" w:hAnsi="Verdana" w:cs="Verdana"/>
          <w:color w:val="000000"/>
          <w:sz w:val="20"/>
          <w:szCs w:val="20"/>
        </w:rPr>
        <w:t xml:space="preserve">expected in </w:t>
      </w:r>
      <w:r w:rsidR="00A34E62">
        <w:rPr>
          <w:rFonts w:ascii="Verdana" w:eastAsia="Verdana" w:hAnsi="Verdana" w:cs="Verdana"/>
          <w:color w:val="000000"/>
          <w:sz w:val="20"/>
          <w:szCs w:val="20"/>
          <w:lang w:val="en-GB"/>
        </w:rPr>
        <w:t>April</w:t>
      </w:r>
      <w:r w:rsidRPr="0073391F">
        <w:rPr>
          <w:rFonts w:ascii="Verdana" w:eastAsia="Verdana" w:hAnsi="Verdana" w:cs="Verdana"/>
          <w:color w:val="000000"/>
          <w:sz w:val="20"/>
          <w:szCs w:val="20"/>
        </w:rPr>
        <w:t xml:space="preserve"> 2025)</w:t>
      </w:r>
      <w:r>
        <w:rPr>
          <w:rFonts w:ascii="Verdana" w:eastAsia="Verdana" w:hAnsi="Verdana" w:cs="Verdana"/>
          <w:color w:val="000000"/>
          <w:sz w:val="20"/>
          <w:szCs w:val="20"/>
        </w:rPr>
        <w:t xml:space="preserve"> with the </w:t>
      </w:r>
      <w:r w:rsidR="0073391F">
        <w:rPr>
          <w:rFonts w:ascii="Verdana" w:eastAsia="Verdana" w:hAnsi="Verdana" w:cs="Verdana"/>
          <w:color w:val="000000"/>
          <w:sz w:val="20"/>
          <w:szCs w:val="20"/>
        </w:rPr>
        <w:t>expert</w:t>
      </w:r>
      <w:r>
        <w:rPr>
          <w:rFonts w:ascii="Verdana" w:eastAsia="Verdana" w:hAnsi="Verdana" w:cs="Verdana"/>
          <w:color w:val="000000"/>
          <w:sz w:val="20"/>
          <w:szCs w:val="20"/>
        </w:rPr>
        <w:t xml:space="preserve"> and the period of implementation of the contract will be</w:t>
      </w:r>
      <w:r w:rsidR="0073391F">
        <w:rPr>
          <w:rFonts w:ascii="Verdana" w:eastAsia="Verdana" w:hAnsi="Verdana" w:cs="Verdana"/>
          <w:color w:val="000000"/>
          <w:sz w:val="20"/>
          <w:szCs w:val="20"/>
        </w:rPr>
        <w:t xml:space="preserve"> 10</w:t>
      </w:r>
      <w:r>
        <w:rPr>
          <w:rFonts w:ascii="Verdana" w:eastAsia="Verdana" w:hAnsi="Verdana" w:cs="Verdana"/>
          <w:color w:val="000000"/>
          <w:sz w:val="20"/>
          <w:szCs w:val="20"/>
        </w:rPr>
        <w:t xml:space="preserve"> months, with a duration of up to 2</w:t>
      </w:r>
      <w:r w:rsidR="00636BCB">
        <w:rPr>
          <w:rFonts w:ascii="Verdana" w:eastAsia="Verdana" w:hAnsi="Verdana" w:cs="Verdana"/>
          <w:color w:val="000000"/>
          <w:sz w:val="20"/>
          <w:szCs w:val="20"/>
        </w:rPr>
        <w:t>0</w:t>
      </w:r>
      <w:r>
        <w:rPr>
          <w:rFonts w:ascii="Verdana" w:eastAsia="Verdana" w:hAnsi="Verdana" w:cs="Verdana"/>
          <w:color w:val="000000"/>
          <w:sz w:val="20"/>
          <w:szCs w:val="20"/>
        </w:rPr>
        <w:t>0 working days.</w:t>
      </w:r>
    </w:p>
    <w:bookmarkEnd w:id="1"/>
    <w:p w14:paraId="4AAFE2DE" w14:textId="77777777" w:rsidR="00E57F87" w:rsidRDefault="007C0905" w:rsidP="008B5B58">
      <w:pPr>
        <w:shd w:val="clear" w:color="auto" w:fill="FFFFFF"/>
        <w:spacing w:after="160"/>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w:t>
      </w:r>
    </w:p>
    <w:p w14:paraId="589F4320" w14:textId="77777777" w:rsidR="00E57F87" w:rsidRDefault="007C0905" w:rsidP="008B5B58">
      <w:pPr>
        <w:spacing w:after="160"/>
        <w:ind w:firstLine="720"/>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 will be awarded to the expert meeting the following criteria: </w:t>
      </w:r>
    </w:p>
    <w:p w14:paraId="70DF12B7" w14:textId="77777777" w:rsidR="00E57F87" w:rsidRDefault="007C0905">
      <w:pPr>
        <w:pStyle w:val="Overskrift2"/>
        <w:spacing w:before="0" w:after="280"/>
        <w:jc w:val="both"/>
        <w:rPr>
          <w:rFonts w:ascii="Verdana" w:eastAsia="Verdana" w:hAnsi="Verdana" w:cs="Verdana"/>
          <w:b w:val="0"/>
          <w:sz w:val="20"/>
          <w:szCs w:val="20"/>
          <w:u w:val="single"/>
        </w:rPr>
      </w:pPr>
      <w:r>
        <w:rPr>
          <w:rFonts w:ascii="Verdana" w:eastAsia="Verdana" w:hAnsi="Verdana" w:cs="Verdana"/>
          <w:b w:val="0"/>
          <w:sz w:val="20"/>
          <w:szCs w:val="20"/>
          <w:u w:val="single"/>
        </w:rPr>
        <w:t xml:space="preserve">General qualifications: </w:t>
      </w:r>
    </w:p>
    <w:p w14:paraId="38DDEC7E" w14:textId="32F71165" w:rsidR="00E57F87" w:rsidRDefault="007C0905">
      <w:pPr>
        <w:numPr>
          <w:ilvl w:val="0"/>
          <w:numId w:val="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 xml:space="preserve">a minimum of a Master’s degree in law </w:t>
      </w:r>
      <w:r w:rsidR="008B5B58">
        <w:rPr>
          <w:rFonts w:ascii="Verdana" w:eastAsia="Verdana" w:hAnsi="Verdana" w:cs="Verdana"/>
          <w:color w:val="000000"/>
          <w:sz w:val="20"/>
          <w:szCs w:val="20"/>
        </w:rPr>
        <w:t xml:space="preserve">or </w:t>
      </w:r>
      <w:r>
        <w:rPr>
          <w:rFonts w:ascii="Verdana" w:eastAsia="Verdana" w:hAnsi="Verdana" w:cs="Verdana"/>
          <w:color w:val="000000"/>
          <w:sz w:val="20"/>
          <w:szCs w:val="20"/>
        </w:rPr>
        <w:t xml:space="preserve">public administration is required, </w:t>
      </w:r>
    </w:p>
    <w:p w14:paraId="34C67AE9" w14:textId="77777777" w:rsidR="00E57F87" w:rsidRDefault="007C0905">
      <w:pPr>
        <w:numPr>
          <w:ilvl w:val="0"/>
          <w:numId w:val="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sz w:val="20"/>
          <w:szCs w:val="20"/>
        </w:rPr>
        <w:t>Proven experience in legal analysis, regulatory compliance, and legislative drafting.</w:t>
      </w:r>
    </w:p>
    <w:p w14:paraId="3D660E04" w14:textId="77777777" w:rsidR="00E57F87" w:rsidRDefault="007C0905">
      <w:pPr>
        <w:numPr>
          <w:ilvl w:val="0"/>
          <w:numId w:val="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sz w:val="20"/>
          <w:szCs w:val="20"/>
        </w:rPr>
        <w:t>Expertise in contract law, risk assessment, and legal oversight of agreements.</w:t>
      </w:r>
    </w:p>
    <w:p w14:paraId="0F349356" w14:textId="77777777" w:rsidR="00E57F87" w:rsidRDefault="007C0905">
      <w:pPr>
        <w:numPr>
          <w:ilvl w:val="0"/>
          <w:numId w:val="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sz w:val="20"/>
          <w:szCs w:val="20"/>
        </w:rPr>
        <w:t>Experience in policy development, regulatory reform, and legislative amendments.</w:t>
      </w:r>
    </w:p>
    <w:p w14:paraId="7ACEB7D2" w14:textId="44134652" w:rsidR="00636BCB" w:rsidRPr="000A206C" w:rsidRDefault="00636BCB">
      <w:pPr>
        <w:numPr>
          <w:ilvl w:val="0"/>
          <w:numId w:val="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Experience in working with compliance and anti-corruption will be a major advantage.</w:t>
      </w:r>
    </w:p>
    <w:p w14:paraId="6F050296" w14:textId="15CD29F1" w:rsidR="00E57F87" w:rsidRDefault="007C0905">
      <w:pPr>
        <w:numPr>
          <w:ilvl w:val="0"/>
          <w:numId w:val="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sz w:val="20"/>
          <w:szCs w:val="20"/>
        </w:rPr>
        <w:t>Demonstrated ability to monitor and analyze legal changes affecting reconstruction projects.</w:t>
      </w:r>
    </w:p>
    <w:p w14:paraId="2E41251C" w14:textId="77777777" w:rsidR="00E57F87" w:rsidRDefault="007C0905" w:rsidP="008B5B58">
      <w:pPr>
        <w:numPr>
          <w:ilvl w:val="0"/>
          <w:numId w:val="2"/>
        </w:numPr>
        <w:pBdr>
          <w:top w:val="nil"/>
          <w:left w:val="nil"/>
          <w:bottom w:val="nil"/>
          <w:right w:val="nil"/>
          <w:between w:val="nil"/>
        </w:pBdr>
        <w:ind w:right="140"/>
        <w:jc w:val="both"/>
        <w:rPr>
          <w:rFonts w:ascii="Verdana" w:eastAsia="Verdana" w:hAnsi="Verdana" w:cs="Verdana"/>
          <w:color w:val="000000"/>
          <w:sz w:val="20"/>
          <w:szCs w:val="20"/>
        </w:rPr>
      </w:pPr>
      <w:r>
        <w:rPr>
          <w:rFonts w:ascii="Verdana" w:eastAsia="Verdana" w:hAnsi="Verdana" w:cs="Verdana"/>
          <w:sz w:val="20"/>
          <w:szCs w:val="20"/>
        </w:rPr>
        <w:t>Strong written and verbal communication skills, with experience in preparing legal opinions and analytical reports.</w:t>
      </w:r>
    </w:p>
    <w:p w14:paraId="14397D50" w14:textId="77777777" w:rsidR="00E57F87" w:rsidRDefault="007C0905">
      <w:pPr>
        <w:numPr>
          <w:ilvl w:val="0"/>
          <w:numId w:val="2"/>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sz w:val="20"/>
          <w:szCs w:val="20"/>
        </w:rPr>
        <w:t xml:space="preserve">fluency in Ukrainian is required; </w:t>
      </w:r>
    </w:p>
    <w:p w14:paraId="7C892D3E" w14:textId="2586E557" w:rsidR="00E57F87" w:rsidRDefault="007C0905">
      <w:pPr>
        <w:numPr>
          <w:ilvl w:val="0"/>
          <w:numId w:val="2"/>
        </w:numPr>
        <w:pBdr>
          <w:top w:val="nil"/>
          <w:left w:val="nil"/>
          <w:bottom w:val="nil"/>
          <w:right w:val="nil"/>
          <w:between w:val="nil"/>
        </w:pBdr>
        <w:spacing w:after="280"/>
        <w:jc w:val="both"/>
        <w:rPr>
          <w:rFonts w:ascii="Verdana" w:eastAsia="Verdana" w:hAnsi="Verdana" w:cs="Verdana"/>
          <w:sz w:val="20"/>
          <w:szCs w:val="20"/>
        </w:rPr>
      </w:pPr>
      <w:r>
        <w:rPr>
          <w:rFonts w:ascii="Verdana" w:eastAsia="Verdana" w:hAnsi="Verdana" w:cs="Verdana"/>
          <w:sz w:val="20"/>
          <w:szCs w:val="20"/>
        </w:rPr>
        <w:lastRenderedPageBreak/>
        <w:t>ability to speak and write in English language.</w:t>
      </w:r>
    </w:p>
    <w:p w14:paraId="5FA1458B" w14:textId="77777777" w:rsidR="00E57F87" w:rsidRDefault="007C0905">
      <w:pPr>
        <w:pStyle w:val="Overskrift2"/>
        <w:spacing w:before="0" w:after="280"/>
        <w:jc w:val="both"/>
        <w:rPr>
          <w:rFonts w:ascii="Verdana" w:eastAsia="Verdana" w:hAnsi="Verdana" w:cs="Verdana"/>
          <w:b w:val="0"/>
          <w:sz w:val="20"/>
          <w:szCs w:val="20"/>
          <w:u w:val="single"/>
        </w:rPr>
      </w:pPr>
      <w:r>
        <w:rPr>
          <w:rFonts w:ascii="Verdana" w:eastAsia="Verdana" w:hAnsi="Verdana" w:cs="Verdana"/>
          <w:b w:val="0"/>
          <w:sz w:val="20"/>
          <w:szCs w:val="20"/>
          <w:u w:val="single"/>
        </w:rPr>
        <w:t>Adequacy for the assignment:</w:t>
      </w:r>
    </w:p>
    <w:p w14:paraId="48F5D07E" w14:textId="251927CC" w:rsidR="00E57F87" w:rsidRPr="000F01A9" w:rsidRDefault="007C0905" w:rsidP="000F01A9">
      <w:pPr>
        <w:numPr>
          <w:ilvl w:val="0"/>
          <w:numId w:val="3"/>
        </w:numPr>
        <w:pBdr>
          <w:top w:val="nil"/>
          <w:left w:val="nil"/>
          <w:bottom w:val="nil"/>
          <w:right w:val="nil"/>
          <w:between w:val="nil"/>
        </w:pBdr>
        <w:jc w:val="both"/>
        <w:rPr>
          <w:rFonts w:ascii="Verdana" w:eastAsia="Verdana" w:hAnsi="Verdana" w:cs="Verdana"/>
          <w:color w:val="000000"/>
          <w:sz w:val="20"/>
          <w:szCs w:val="20"/>
        </w:rPr>
      </w:pPr>
      <w:r w:rsidRPr="000F01A9">
        <w:rPr>
          <w:rFonts w:ascii="Verdana" w:eastAsia="Verdana" w:hAnsi="Verdana" w:cs="Verdana"/>
          <w:color w:val="000000"/>
          <w:sz w:val="20"/>
          <w:szCs w:val="20"/>
        </w:rPr>
        <w:t xml:space="preserve">a minimum of </w:t>
      </w:r>
      <w:r w:rsidR="00C67D45">
        <w:rPr>
          <w:rFonts w:ascii="Verdana" w:eastAsia="Verdana" w:hAnsi="Verdana" w:cs="Verdana"/>
          <w:color w:val="000000"/>
          <w:sz w:val="20"/>
          <w:szCs w:val="20"/>
        </w:rPr>
        <w:t>5</w:t>
      </w:r>
      <w:r w:rsidRPr="000F01A9">
        <w:rPr>
          <w:rFonts w:ascii="Verdana" w:eastAsia="Verdana" w:hAnsi="Verdana" w:cs="Verdana"/>
          <w:color w:val="000000"/>
          <w:sz w:val="20"/>
          <w:szCs w:val="20"/>
        </w:rPr>
        <w:t xml:space="preserve"> years of professional experience;</w:t>
      </w:r>
    </w:p>
    <w:p w14:paraId="194C5A4D" w14:textId="007E8988" w:rsidR="00E57F87" w:rsidRPr="000F01A9" w:rsidRDefault="007C0905" w:rsidP="000F01A9">
      <w:pPr>
        <w:numPr>
          <w:ilvl w:val="0"/>
          <w:numId w:val="3"/>
        </w:numPr>
        <w:pBdr>
          <w:top w:val="nil"/>
          <w:left w:val="nil"/>
          <w:bottom w:val="nil"/>
          <w:right w:val="nil"/>
          <w:between w:val="nil"/>
        </w:pBdr>
        <w:jc w:val="both"/>
        <w:rPr>
          <w:rFonts w:ascii="Verdana" w:eastAsia="Verdana" w:hAnsi="Verdana" w:cs="Verdana"/>
          <w:color w:val="000000"/>
          <w:sz w:val="20"/>
          <w:szCs w:val="20"/>
        </w:rPr>
      </w:pPr>
      <w:r w:rsidRPr="000F01A9">
        <w:rPr>
          <w:rFonts w:ascii="Verdana" w:eastAsia="Verdana" w:hAnsi="Verdana" w:cs="Verdana"/>
          <w:color w:val="000000"/>
          <w:sz w:val="20"/>
          <w:szCs w:val="20"/>
        </w:rPr>
        <w:t xml:space="preserve">experience working with </w:t>
      </w:r>
      <w:r w:rsidR="00A34E62">
        <w:rPr>
          <w:rFonts w:ascii="Verdana" w:eastAsia="Verdana" w:hAnsi="Verdana" w:cs="Verdana"/>
          <w:color w:val="000000"/>
          <w:sz w:val="20"/>
          <w:szCs w:val="20"/>
        </w:rPr>
        <w:t>state authorities and institutions</w:t>
      </w:r>
      <w:r w:rsidRPr="000F01A9">
        <w:rPr>
          <w:rFonts w:ascii="Verdana" w:eastAsia="Verdana" w:hAnsi="Verdana" w:cs="Verdana"/>
          <w:color w:val="000000"/>
          <w:sz w:val="20"/>
          <w:szCs w:val="20"/>
        </w:rPr>
        <w:t>;</w:t>
      </w:r>
    </w:p>
    <w:p w14:paraId="2130FE5D" w14:textId="77777777" w:rsidR="00E57F87" w:rsidRDefault="007C0905">
      <w:pPr>
        <w:numPr>
          <w:ilvl w:val="0"/>
          <w:numId w:val="3"/>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at least 2 years of professional experience of cooperation with (working within) the public sector under capacity building projects covering good governance, urban planning, construction, anti-corruption or risk management;</w:t>
      </w:r>
    </w:p>
    <w:p w14:paraId="6F9AE6B6" w14:textId="77777777" w:rsidR="00E57F87" w:rsidRDefault="007C0905" w:rsidP="00C67D45">
      <w:pPr>
        <w:numPr>
          <w:ilvl w:val="0"/>
          <w:numId w:val="3"/>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proven experience in cooperation with stakeholders in national government, local self-government, development partners, and civil society;</w:t>
      </w:r>
    </w:p>
    <w:p w14:paraId="2491C569" w14:textId="77777777" w:rsidR="00E57F87" w:rsidRDefault="007C0905" w:rsidP="00C67D45">
      <w:pPr>
        <w:numPr>
          <w:ilvl w:val="0"/>
          <w:numId w:val="3"/>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color w:val="000000"/>
          <w:sz w:val="20"/>
          <w:szCs w:val="20"/>
        </w:rPr>
        <w:t>professional experience in coordination of legal work and methodological guidance in relations with international organizations;</w:t>
      </w:r>
    </w:p>
    <w:p w14:paraId="074F1933" w14:textId="77777777" w:rsidR="00E57F87" w:rsidRDefault="00E57F87" w:rsidP="008B5B58">
      <w:pPr>
        <w:spacing w:after="160"/>
        <w:jc w:val="both"/>
        <w:rPr>
          <w:rFonts w:ascii="Verdana" w:eastAsia="Verdana" w:hAnsi="Verdana" w:cs="Verdana"/>
          <w:color w:val="000000"/>
          <w:sz w:val="20"/>
          <w:szCs w:val="20"/>
        </w:rPr>
      </w:pPr>
    </w:p>
    <w:p w14:paraId="00867B05" w14:textId="77777777" w:rsidR="00E57F87" w:rsidRDefault="007C0905" w:rsidP="008B5B58">
      <w:pPr>
        <w:spacing w:after="160"/>
        <w:jc w:val="both"/>
        <w:rPr>
          <w:rFonts w:ascii="Verdana" w:eastAsia="Verdana" w:hAnsi="Verdana" w:cs="Verdana"/>
          <w:b/>
          <w:color w:val="000000"/>
          <w:sz w:val="20"/>
          <w:szCs w:val="20"/>
        </w:rPr>
      </w:pPr>
      <w:r>
        <w:rPr>
          <w:rFonts w:ascii="Verdana" w:eastAsia="Verdana" w:hAnsi="Verdana" w:cs="Verdana"/>
          <w:b/>
          <w:color w:val="000000"/>
          <w:sz w:val="20"/>
          <w:szCs w:val="20"/>
        </w:rPr>
        <w:t>Monitoring and evaluation:</w:t>
      </w:r>
    </w:p>
    <w:p w14:paraId="422A18DA" w14:textId="77777777" w:rsidR="00E57F87" w:rsidRDefault="007C0905" w:rsidP="008B5B58">
      <w:pPr>
        <w:spacing w:after="16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Definition of indicators</w:t>
      </w:r>
    </w:p>
    <w:p w14:paraId="64083936" w14:textId="77777777" w:rsidR="00E57F87" w:rsidRDefault="007C0905" w:rsidP="008B5B58">
      <w:pPr>
        <w:spacing w:after="160"/>
        <w:ind w:firstLine="567"/>
        <w:jc w:val="both"/>
        <w:rPr>
          <w:rFonts w:ascii="Verdana" w:eastAsia="Verdana" w:hAnsi="Verdana" w:cs="Verdana"/>
          <w:color w:val="000000"/>
          <w:sz w:val="20"/>
          <w:szCs w:val="20"/>
        </w:rPr>
      </w:pPr>
      <w:r>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2A87C601" w14:textId="77777777" w:rsidR="00E57F87" w:rsidRDefault="007C0905" w:rsidP="008B5B58">
      <w:pPr>
        <w:spacing w:after="16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p>
    <w:p w14:paraId="35C3D1BB" w14:textId="54242A83" w:rsidR="00E57F87" w:rsidRDefault="007C0905" w:rsidP="008B5B58">
      <w:pPr>
        <w:spacing w:after="160"/>
        <w:ind w:firstLine="567"/>
        <w:jc w:val="both"/>
        <w:rPr>
          <w:rFonts w:ascii="Verdana" w:eastAsia="Verdana" w:hAnsi="Verdana" w:cs="Verdana"/>
          <w:color w:val="000000"/>
          <w:sz w:val="20"/>
          <w:szCs w:val="20"/>
        </w:rPr>
      </w:pPr>
      <w:r>
        <w:rPr>
          <w:rFonts w:ascii="Verdana" w:eastAsia="Verdana" w:hAnsi="Verdana" w:cs="Verdana"/>
          <w:color w:val="000000"/>
          <w:sz w:val="20"/>
          <w:szCs w:val="20"/>
        </w:rPr>
        <w:t xml:space="preserve">By signing the contract, the contractor (and its representatives) </w:t>
      </w:r>
      <w:r w:rsidR="00B67F08">
        <w:rPr>
          <w:rFonts w:ascii="Verdana" w:eastAsia="Verdana" w:hAnsi="Verdana" w:cs="Verdana"/>
          <w:color w:val="000000"/>
          <w:sz w:val="20"/>
          <w:szCs w:val="20"/>
        </w:rPr>
        <w:t>agrees</w:t>
      </w:r>
      <w:r>
        <w:rPr>
          <w:rFonts w:ascii="Verdana" w:eastAsia="Verdana" w:hAnsi="Verdana" w:cs="Verdana"/>
          <w:color w:val="000000"/>
          <w:sz w:val="20"/>
          <w:szCs w:val="20"/>
        </w:rPr>
        <w:t xml:space="preserv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3451C3B5" w14:textId="60E5F93E" w:rsidR="00E57F87" w:rsidRDefault="007C0905" w:rsidP="008B5B58">
      <w:pPr>
        <w:spacing w:after="160"/>
        <w:ind w:firstLine="567"/>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contractor reports to the Agency </w:t>
      </w:r>
      <w:r w:rsidR="00C67D45">
        <w:rPr>
          <w:rFonts w:ascii="Verdana" w:eastAsia="Verdana" w:hAnsi="Verdana" w:cs="Verdana"/>
          <w:color w:val="000000"/>
          <w:sz w:val="20"/>
          <w:szCs w:val="20"/>
        </w:rPr>
        <w:t xml:space="preserve">first </w:t>
      </w:r>
      <w:r>
        <w:rPr>
          <w:rFonts w:ascii="Verdana" w:eastAsia="Verdana" w:hAnsi="Verdana" w:cs="Verdana"/>
          <w:color w:val="000000"/>
          <w:sz w:val="20"/>
          <w:szCs w:val="20"/>
        </w:rPr>
        <w:t>deputy head, and the EUACI. The contractor shall de-brief the EUACI prior to finalizing the assignment. Regularly planning and reporting sessions with the representative of the Agency and EUACI are expected.</w:t>
      </w:r>
    </w:p>
    <w:p w14:paraId="3FCDC940" w14:textId="77777777" w:rsidR="00E57F87" w:rsidRDefault="007C0905" w:rsidP="008B5B58">
      <w:pPr>
        <w:pStyle w:val="Overskrift1"/>
        <w:spacing w:before="0" w:after="160"/>
        <w:rPr>
          <w:rFonts w:ascii="Verdana" w:eastAsia="Verdana" w:hAnsi="Verdana" w:cs="Verdana"/>
          <w:color w:val="000000"/>
          <w:sz w:val="20"/>
          <w:szCs w:val="20"/>
        </w:rPr>
      </w:pPr>
      <w:r>
        <w:rPr>
          <w:rFonts w:ascii="Verdana" w:eastAsia="Verdana" w:hAnsi="Verdana" w:cs="Verdana"/>
          <w:color w:val="000000"/>
          <w:sz w:val="20"/>
          <w:szCs w:val="20"/>
        </w:rPr>
        <w:t>Bidding details</w:t>
      </w:r>
    </w:p>
    <w:p w14:paraId="54AE7590" w14:textId="77777777" w:rsidR="00E57F87" w:rsidRDefault="007C0905">
      <w:pPr>
        <w:spacing w:after="280"/>
        <w:jc w:val="both"/>
        <w:rPr>
          <w:rFonts w:ascii="Verdana" w:eastAsia="Verdana" w:hAnsi="Verdana" w:cs="Verdana"/>
          <w:color w:val="000000"/>
          <w:sz w:val="20"/>
          <w:szCs w:val="20"/>
        </w:rPr>
      </w:pPr>
      <w:r>
        <w:rPr>
          <w:rFonts w:ascii="Verdana" w:eastAsia="Verdana" w:hAnsi="Verdana" w:cs="Verdana"/>
          <w:color w:val="000000"/>
          <w:sz w:val="20"/>
          <w:szCs w:val="20"/>
        </w:rPr>
        <w:t>The bidder must submit the following information to be considered:</w:t>
      </w:r>
    </w:p>
    <w:p w14:paraId="43E102EF" w14:textId="77777777" w:rsidR="00E57F87" w:rsidRDefault="007C0905">
      <w:pPr>
        <w:numPr>
          <w:ilvl w:val="0"/>
          <w:numId w:val="1"/>
        </w:numPr>
        <w:pBdr>
          <w:top w:val="nil"/>
          <w:left w:val="nil"/>
          <w:bottom w:val="nil"/>
          <w:right w:val="nil"/>
          <w:between w:val="nil"/>
        </w:pBdr>
        <w:jc w:val="both"/>
        <w:rPr>
          <w:color w:val="000000"/>
          <w:sz w:val="20"/>
          <w:szCs w:val="20"/>
        </w:rPr>
      </w:pPr>
      <w:r>
        <w:rPr>
          <w:rFonts w:ascii="Verdana" w:eastAsia="Verdana" w:hAnsi="Verdana" w:cs="Verdana"/>
          <w:color w:val="000000"/>
          <w:sz w:val="20"/>
          <w:szCs w:val="20"/>
        </w:rPr>
        <w:t>The CV (no more than three pages long) that should include description of the previous relevant assignments, key duties on this assignment.</w:t>
      </w:r>
    </w:p>
    <w:p w14:paraId="2A3A5AB3" w14:textId="4318F427" w:rsidR="00E57F87" w:rsidRDefault="007C0905">
      <w:pPr>
        <w:numPr>
          <w:ilvl w:val="0"/>
          <w:numId w:val="1"/>
        </w:numPr>
        <w:pBdr>
          <w:top w:val="nil"/>
          <w:left w:val="nil"/>
          <w:bottom w:val="nil"/>
          <w:right w:val="nil"/>
          <w:between w:val="nil"/>
        </w:pBdr>
        <w:spacing w:after="280"/>
        <w:jc w:val="both"/>
        <w:rPr>
          <w:color w:val="000000"/>
          <w:sz w:val="20"/>
          <w:szCs w:val="20"/>
        </w:rPr>
      </w:pPr>
      <w:r>
        <w:rPr>
          <w:rFonts w:ascii="Verdana" w:eastAsia="Verdana" w:hAnsi="Verdana" w:cs="Verdana"/>
          <w:color w:val="000000"/>
          <w:sz w:val="20"/>
          <w:szCs w:val="20"/>
        </w:rPr>
        <w:t>A budget for the services in EUR, inclusive of all taxes or other such charges with calculation of 2</w:t>
      </w:r>
      <w:r w:rsidR="00636BCB">
        <w:rPr>
          <w:rFonts w:ascii="Verdana" w:eastAsia="Verdana" w:hAnsi="Verdana" w:cs="Verdana"/>
          <w:color w:val="000000"/>
          <w:sz w:val="20"/>
          <w:szCs w:val="20"/>
        </w:rPr>
        <w:t>0</w:t>
      </w:r>
      <w:r>
        <w:rPr>
          <w:rFonts w:ascii="Verdana" w:eastAsia="Verdana" w:hAnsi="Verdana" w:cs="Verdana"/>
          <w:color w:val="000000"/>
          <w:sz w:val="20"/>
          <w:szCs w:val="20"/>
        </w:rPr>
        <w:t>0 working days</w:t>
      </w:r>
      <w:r w:rsidR="00636BCB">
        <w:rPr>
          <w:rFonts w:ascii="Verdana" w:eastAsia="Verdana" w:hAnsi="Verdana" w:cs="Verdana"/>
          <w:color w:val="000000"/>
          <w:sz w:val="20"/>
          <w:szCs w:val="20"/>
        </w:rPr>
        <w:t>. The daily fee cannot exceed 115 EURO.</w:t>
      </w:r>
      <w:r>
        <w:rPr>
          <w:rFonts w:ascii="Verdana" w:eastAsia="Verdana" w:hAnsi="Verdana" w:cs="Verdana"/>
          <w:color w:val="000000"/>
          <w:sz w:val="20"/>
          <w:szCs w:val="20"/>
        </w:rPr>
        <w:t xml:space="preserve"> </w:t>
      </w:r>
    </w:p>
    <w:p w14:paraId="1BB650A2" w14:textId="4D7D45BB" w:rsidR="00E57F87" w:rsidRPr="002A1105" w:rsidRDefault="007C0905">
      <w:pPr>
        <w:ind w:firstLine="360"/>
        <w:jc w:val="both"/>
        <w:rPr>
          <w:rFonts w:ascii="Verdana" w:eastAsia="Verdana" w:hAnsi="Verdana" w:cs="Verdana"/>
          <w:bCs/>
          <w:color w:val="000000"/>
          <w:sz w:val="20"/>
          <w:szCs w:val="20"/>
        </w:rPr>
      </w:pPr>
      <w:r>
        <w:rPr>
          <w:rFonts w:ascii="Verdana" w:eastAsia="Verdana" w:hAnsi="Verdana" w:cs="Verdana"/>
          <w:color w:val="000000"/>
          <w:sz w:val="20"/>
          <w:szCs w:val="20"/>
        </w:rPr>
        <w:t xml:space="preserve">The maximum budget available for this assignment is up to </w:t>
      </w:r>
      <w:r w:rsidR="0061337E">
        <w:rPr>
          <w:rFonts w:ascii="Verdana" w:eastAsia="Verdana" w:hAnsi="Verdana" w:cs="Verdana"/>
          <w:b/>
          <w:color w:val="000000"/>
          <w:sz w:val="20"/>
          <w:szCs w:val="20"/>
        </w:rPr>
        <w:t xml:space="preserve">23 000 </w:t>
      </w:r>
      <w:r>
        <w:rPr>
          <w:rFonts w:ascii="Verdana" w:eastAsia="Verdana" w:hAnsi="Verdana" w:cs="Verdana"/>
          <w:b/>
          <w:color w:val="000000"/>
          <w:sz w:val="20"/>
          <w:szCs w:val="20"/>
        </w:rPr>
        <w:t xml:space="preserve">EUR </w:t>
      </w:r>
      <w:r>
        <w:rPr>
          <w:rFonts w:ascii="Verdana" w:eastAsia="Verdana" w:hAnsi="Verdana" w:cs="Verdana"/>
          <w:color w:val="000000"/>
          <w:sz w:val="20"/>
          <w:szCs w:val="20"/>
        </w:rPr>
        <w:t>(that includes</w:t>
      </w:r>
      <w:r>
        <w:rPr>
          <w:rFonts w:ascii="Verdana" w:eastAsia="Verdana" w:hAnsi="Verdana" w:cs="Verdana"/>
          <w:b/>
          <w:color w:val="000000"/>
          <w:sz w:val="20"/>
          <w:szCs w:val="20"/>
        </w:rPr>
        <w:t xml:space="preserve"> </w:t>
      </w:r>
      <w:r w:rsidRPr="002A1105">
        <w:rPr>
          <w:rFonts w:ascii="Verdana" w:eastAsia="Verdana" w:hAnsi="Verdana" w:cs="Verdana"/>
          <w:bCs/>
          <w:color w:val="000000"/>
          <w:sz w:val="20"/>
          <w:szCs w:val="20"/>
        </w:rPr>
        <w:t>2</w:t>
      </w:r>
      <w:r w:rsidR="00636BCB">
        <w:rPr>
          <w:rFonts w:ascii="Verdana" w:eastAsia="Verdana" w:hAnsi="Verdana" w:cs="Verdana"/>
          <w:bCs/>
          <w:color w:val="000000"/>
          <w:sz w:val="20"/>
          <w:szCs w:val="20"/>
        </w:rPr>
        <w:t>0</w:t>
      </w:r>
      <w:r w:rsidRPr="002A1105">
        <w:rPr>
          <w:rFonts w:ascii="Verdana" w:eastAsia="Verdana" w:hAnsi="Verdana" w:cs="Verdana"/>
          <w:bCs/>
          <w:color w:val="000000"/>
          <w:sz w:val="20"/>
          <w:szCs w:val="20"/>
        </w:rPr>
        <w:t>0 working days).</w:t>
      </w:r>
    </w:p>
    <w:p w14:paraId="3C4014E5" w14:textId="77777777" w:rsidR="00E57F87" w:rsidRPr="002A1105" w:rsidRDefault="00E57F87">
      <w:pPr>
        <w:ind w:firstLine="360"/>
        <w:jc w:val="both"/>
        <w:rPr>
          <w:rFonts w:ascii="Verdana" w:eastAsia="Verdana" w:hAnsi="Verdana" w:cs="Verdana"/>
          <w:bCs/>
          <w:color w:val="000000"/>
          <w:sz w:val="20"/>
          <w:szCs w:val="20"/>
        </w:rPr>
      </w:pPr>
    </w:p>
    <w:p w14:paraId="016E57F5" w14:textId="77777777" w:rsidR="00E57F87" w:rsidRDefault="007C0905" w:rsidP="008B5B58">
      <w:pPr>
        <w:pStyle w:val="Overskrift1"/>
        <w:spacing w:before="0" w:after="160"/>
        <w:jc w:val="both"/>
        <w:rPr>
          <w:rFonts w:ascii="Verdana" w:eastAsia="Verdana" w:hAnsi="Verdana" w:cs="Verdana"/>
          <w:color w:val="000000"/>
          <w:sz w:val="20"/>
          <w:szCs w:val="20"/>
        </w:rPr>
      </w:pPr>
      <w:r>
        <w:rPr>
          <w:rFonts w:ascii="Verdana" w:eastAsia="Verdana" w:hAnsi="Verdana" w:cs="Verdana"/>
          <w:color w:val="000000"/>
          <w:sz w:val="20"/>
          <w:szCs w:val="20"/>
        </w:rPr>
        <w:t>How to apply</w:t>
      </w:r>
    </w:p>
    <w:p w14:paraId="0130FF6A" w14:textId="2C344B34" w:rsidR="00E57F87" w:rsidRDefault="007C0905" w:rsidP="008B5B58">
      <w:pPr>
        <w:widowControl w:val="0"/>
        <w:pBdr>
          <w:top w:val="nil"/>
          <w:left w:val="nil"/>
          <w:bottom w:val="nil"/>
          <w:right w:val="nil"/>
          <w:between w:val="nil"/>
        </w:pBdr>
        <w:spacing w:after="160"/>
        <w:jc w:val="both"/>
        <w:rPr>
          <w:rFonts w:ascii="Verdana" w:eastAsia="Verdana" w:hAnsi="Verdana" w:cs="Verdana"/>
          <w:color w:val="000000"/>
          <w:sz w:val="20"/>
          <w:szCs w:val="20"/>
        </w:rPr>
      </w:pPr>
      <w:bookmarkStart w:id="2" w:name="_1fob9te" w:colFirst="0" w:colLast="0"/>
      <w:bookmarkEnd w:id="2"/>
      <w:r>
        <w:rPr>
          <w:rFonts w:ascii="Verdana" w:eastAsia="Verdana" w:hAnsi="Verdana" w:cs="Verdana"/>
          <w:color w:val="000000"/>
          <w:sz w:val="20"/>
          <w:szCs w:val="20"/>
        </w:rPr>
        <w:t xml:space="preserve">The deadline for submitting the proposals </w:t>
      </w:r>
      <w:r w:rsidRPr="000A206C">
        <w:rPr>
          <w:rFonts w:ascii="Verdana" w:eastAsia="Verdana" w:hAnsi="Verdana" w:cs="Verdana"/>
          <w:color w:val="000000"/>
          <w:sz w:val="20"/>
          <w:szCs w:val="20"/>
        </w:rPr>
        <w:t xml:space="preserve">is </w:t>
      </w:r>
      <w:r w:rsidR="000A206C" w:rsidRPr="000A206C">
        <w:rPr>
          <w:rFonts w:ascii="Verdana" w:eastAsia="Verdana" w:hAnsi="Verdana" w:cs="Verdana"/>
          <w:color w:val="000000"/>
          <w:sz w:val="20"/>
          <w:szCs w:val="20"/>
        </w:rPr>
        <w:t>21</w:t>
      </w:r>
      <w:r w:rsidRPr="000A206C">
        <w:rPr>
          <w:rFonts w:ascii="Verdana" w:eastAsia="Verdana" w:hAnsi="Verdana" w:cs="Verdana"/>
          <w:color w:val="000000"/>
          <w:sz w:val="20"/>
          <w:szCs w:val="20"/>
        </w:rPr>
        <w:t xml:space="preserve"> </w:t>
      </w:r>
      <w:r w:rsidR="00B115FE" w:rsidRPr="000A206C">
        <w:rPr>
          <w:rFonts w:ascii="Verdana" w:eastAsia="Verdana" w:hAnsi="Verdana" w:cs="Verdana"/>
          <w:color w:val="000000"/>
          <w:sz w:val="20"/>
          <w:szCs w:val="20"/>
        </w:rPr>
        <w:t xml:space="preserve">April </w:t>
      </w:r>
      <w:r w:rsidRPr="000A206C">
        <w:rPr>
          <w:rFonts w:ascii="Verdana" w:eastAsia="Verdana" w:hAnsi="Verdana" w:cs="Verdana"/>
          <w:color w:val="000000"/>
          <w:sz w:val="20"/>
          <w:szCs w:val="20"/>
        </w:rPr>
        <w:t>2025</w:t>
      </w:r>
      <w:r>
        <w:rPr>
          <w:rFonts w:ascii="Verdana" w:eastAsia="Verdana" w:hAnsi="Verdana" w:cs="Verdana"/>
          <w:color w:val="000000"/>
          <w:sz w:val="20"/>
          <w:szCs w:val="20"/>
        </w:rPr>
        <w:t>, 1</w:t>
      </w:r>
      <w:r w:rsidR="000A206C">
        <w:rPr>
          <w:rFonts w:ascii="Verdana" w:eastAsia="Verdana" w:hAnsi="Verdana" w:cs="Verdana"/>
          <w:color w:val="000000"/>
          <w:sz w:val="20"/>
          <w:szCs w:val="20"/>
        </w:rPr>
        <w:t>7</w:t>
      </w:r>
      <w:r>
        <w:rPr>
          <w:rFonts w:ascii="Verdana" w:eastAsia="Verdana" w:hAnsi="Verdana" w:cs="Verdana"/>
          <w:color w:val="000000"/>
          <w:sz w:val="20"/>
          <w:szCs w:val="20"/>
        </w:rPr>
        <w:t xml:space="preserve">:00 Kyiv time. </w:t>
      </w:r>
    </w:p>
    <w:p w14:paraId="4FC33BD5" w14:textId="327D680C" w:rsidR="00E57F87" w:rsidRDefault="007C0905" w:rsidP="008B5B58">
      <w:pPr>
        <w:widowControl w:val="0"/>
        <w:pBdr>
          <w:top w:val="nil"/>
          <w:left w:val="nil"/>
          <w:bottom w:val="nil"/>
          <w:right w:val="nil"/>
          <w:between w:val="nil"/>
        </w:pBdr>
        <w:spacing w:after="160"/>
        <w:jc w:val="both"/>
        <w:rPr>
          <w:rFonts w:ascii="Verdana" w:eastAsia="Verdana" w:hAnsi="Verdana" w:cs="Verdana"/>
          <w:sz w:val="20"/>
          <w:szCs w:val="20"/>
        </w:rPr>
      </w:pPr>
      <w:r>
        <w:rPr>
          <w:rFonts w:ascii="Verdana" w:eastAsia="Verdana" w:hAnsi="Verdana" w:cs="Verdana"/>
          <w:color w:val="000000"/>
          <w:sz w:val="20"/>
          <w:szCs w:val="20"/>
        </w:rPr>
        <w:t xml:space="preserve">The proposals shall be submitted within the above </w:t>
      </w:r>
      <w:r>
        <w:rPr>
          <w:rFonts w:ascii="Verdana" w:eastAsia="Verdana" w:hAnsi="Verdana" w:cs="Verdana"/>
          <w:sz w:val="20"/>
          <w:szCs w:val="20"/>
        </w:rPr>
        <w:t xml:space="preserve">deadline to </w:t>
      </w:r>
      <w:hyperlink r:id="rId7">
        <w:r>
          <w:rPr>
            <w:rFonts w:ascii="Verdana" w:eastAsia="Verdana" w:hAnsi="Verdana" w:cs="Verdana"/>
            <w:color w:val="000000"/>
            <w:sz w:val="20"/>
            <w:szCs w:val="20"/>
          </w:rPr>
          <w:t>euaci@um.dk</w:t>
        </w:r>
      </w:hyperlink>
      <w:r>
        <w:rPr>
          <w:rFonts w:ascii="Verdana" w:eastAsia="Verdana" w:hAnsi="Verdana" w:cs="Verdana"/>
          <w:sz w:val="20"/>
          <w:szCs w:val="20"/>
        </w:rPr>
        <w:t xml:space="preserve"> and </w:t>
      </w:r>
      <w:hyperlink r:id="rId8" w:history="1">
        <w:r w:rsidR="00162F9E" w:rsidRPr="00F90A45">
          <w:rPr>
            <w:rStyle w:val="Hyperlink"/>
            <w:rFonts w:ascii="Verdana" w:eastAsia="Verdana" w:hAnsi="Verdana" w:cs="Verdana"/>
            <w:sz w:val="20"/>
            <w:szCs w:val="20"/>
          </w:rPr>
          <w:t>olhkol@um.dk</w:t>
        </w:r>
      </w:hyperlink>
      <w:r>
        <w:rPr>
          <w:rFonts w:ascii="Verdana" w:eastAsia="Verdana" w:hAnsi="Verdana" w:cs="Verdana"/>
          <w:sz w:val="20"/>
          <w:szCs w:val="20"/>
        </w:rPr>
        <w:t xml:space="preserve">, indicating the subject line “Legal </w:t>
      </w:r>
      <w:r w:rsidR="00C67D45">
        <w:rPr>
          <w:rFonts w:ascii="Verdana" w:eastAsia="Verdana" w:hAnsi="Verdana" w:cs="Verdana"/>
          <w:sz w:val="20"/>
          <w:szCs w:val="20"/>
        </w:rPr>
        <w:t xml:space="preserve">and Compliance </w:t>
      </w:r>
      <w:r>
        <w:rPr>
          <w:rFonts w:ascii="Verdana" w:eastAsia="Verdana" w:hAnsi="Verdana" w:cs="Verdana"/>
          <w:sz w:val="20"/>
          <w:szCs w:val="20"/>
        </w:rPr>
        <w:t xml:space="preserve">Expert for Agency”. </w:t>
      </w:r>
    </w:p>
    <w:p w14:paraId="0FDB33CF" w14:textId="77777777" w:rsidR="00E57F87" w:rsidRDefault="007C0905" w:rsidP="008B5B58">
      <w:pPr>
        <w:widowControl w:val="0"/>
        <w:pBdr>
          <w:top w:val="nil"/>
          <w:left w:val="nil"/>
          <w:bottom w:val="nil"/>
          <w:right w:val="nil"/>
          <w:between w:val="nil"/>
        </w:pBdr>
        <w:spacing w:after="160"/>
        <w:jc w:val="both"/>
        <w:rPr>
          <w:rFonts w:ascii="Verdana" w:eastAsia="Verdana" w:hAnsi="Verdana" w:cs="Verdana"/>
          <w:sz w:val="20"/>
          <w:szCs w:val="20"/>
        </w:rPr>
      </w:pPr>
      <w:r>
        <w:rPr>
          <w:rFonts w:ascii="Verdana" w:eastAsia="Verdana" w:hAnsi="Verdana" w:cs="Verdana"/>
          <w:sz w:val="20"/>
          <w:szCs w:val="20"/>
        </w:rPr>
        <w:lastRenderedPageBreak/>
        <w:t>To ensure your documents were successfully received, please check that you receive an auto-reply from our system.</w:t>
      </w:r>
    </w:p>
    <w:p w14:paraId="675F33C2" w14:textId="6128864A" w:rsidR="00E57F87" w:rsidRPr="000A206C" w:rsidRDefault="007C0905" w:rsidP="008B5B58">
      <w:pPr>
        <w:widowControl w:val="0"/>
        <w:pBdr>
          <w:top w:val="nil"/>
          <w:left w:val="nil"/>
          <w:bottom w:val="nil"/>
          <w:right w:val="nil"/>
          <w:between w:val="nil"/>
        </w:pBdr>
        <w:spacing w:after="160"/>
        <w:jc w:val="both"/>
        <w:rPr>
          <w:rFonts w:ascii="Verdana" w:eastAsia="Verdana" w:hAnsi="Verdana" w:cs="Verdana"/>
          <w:sz w:val="20"/>
          <w:szCs w:val="20"/>
          <w:u w:val="single"/>
        </w:rPr>
      </w:pPr>
      <w:r w:rsidRPr="000A206C">
        <w:rPr>
          <w:rFonts w:ascii="Verdana" w:eastAsia="Verdana" w:hAnsi="Verdana" w:cs="Verdana"/>
          <w:sz w:val="20"/>
          <w:szCs w:val="20"/>
          <w:u w:val="single"/>
        </w:rPr>
        <w:t>Bidding language: English</w:t>
      </w:r>
      <w:r w:rsidR="00C67D45" w:rsidRPr="000A206C">
        <w:rPr>
          <w:rFonts w:ascii="Verdana" w:eastAsia="Verdana" w:hAnsi="Verdana" w:cs="Verdana"/>
          <w:sz w:val="20"/>
          <w:szCs w:val="20"/>
          <w:u w:val="single"/>
        </w:rPr>
        <w:t xml:space="preserve"> </w:t>
      </w:r>
    </w:p>
    <w:p w14:paraId="62B28F0C" w14:textId="069B0C33" w:rsidR="0073391F" w:rsidRDefault="007C0905" w:rsidP="008B5B58">
      <w:pPr>
        <w:spacing w:after="160"/>
        <w:jc w:val="both"/>
        <w:rPr>
          <w:rFonts w:ascii="Verdana" w:eastAsia="Verdana" w:hAnsi="Verdana" w:cs="Verdana"/>
          <w:sz w:val="20"/>
          <w:szCs w:val="20"/>
        </w:rPr>
      </w:pPr>
      <w:bookmarkStart w:id="3" w:name="_3znysh7" w:colFirst="0" w:colLast="0"/>
      <w:bookmarkEnd w:id="3"/>
      <w:r>
        <w:rPr>
          <w:rFonts w:ascii="Verdana" w:eastAsia="Verdana" w:hAnsi="Verdana" w:cs="Verdana"/>
          <w:sz w:val="20"/>
          <w:szCs w:val="20"/>
        </w:rPr>
        <w:t xml:space="preserve">Any clarification questions for the bid request should be addressed to </w:t>
      </w:r>
      <w:hyperlink r:id="rId9">
        <w:r>
          <w:rPr>
            <w:rFonts w:ascii="Verdana" w:eastAsia="Verdana" w:hAnsi="Verdana" w:cs="Verdana"/>
            <w:color w:val="000000"/>
            <w:sz w:val="20"/>
            <w:szCs w:val="20"/>
          </w:rPr>
          <w:t>euaci@um.dk</w:t>
        </w:r>
      </w:hyperlink>
      <w:r>
        <w:rPr>
          <w:rFonts w:ascii="Verdana" w:eastAsia="Verdana" w:hAnsi="Verdana" w:cs="Verdana"/>
          <w:sz w:val="20"/>
          <w:szCs w:val="20"/>
        </w:rPr>
        <w:t xml:space="preserve"> and </w:t>
      </w:r>
      <w:hyperlink r:id="rId10" w:history="1">
        <w:r w:rsidR="00162F9E" w:rsidRPr="00F90A45">
          <w:rPr>
            <w:rStyle w:val="Hyperlink"/>
            <w:rFonts w:ascii="Verdana" w:eastAsia="Verdana" w:hAnsi="Verdana" w:cs="Verdana"/>
            <w:sz w:val="20"/>
            <w:szCs w:val="20"/>
          </w:rPr>
          <w:t>olhkol@ukr.net</w:t>
        </w:r>
      </w:hyperlink>
      <w:r w:rsidRPr="002A1105">
        <w:rPr>
          <w:rFonts w:ascii="Verdana" w:eastAsia="Verdana" w:hAnsi="Verdana" w:cs="Verdana"/>
          <w:sz w:val="20"/>
          <w:szCs w:val="20"/>
        </w:rPr>
        <w:t>,</w:t>
      </w:r>
      <w:r>
        <w:rPr>
          <w:rFonts w:ascii="Verdana" w:eastAsia="Verdana" w:hAnsi="Verdana" w:cs="Verdana"/>
          <w:sz w:val="20"/>
          <w:szCs w:val="20"/>
        </w:rPr>
        <w:t xml:space="preserve"> no later </w:t>
      </w:r>
      <w:r w:rsidRPr="000A206C">
        <w:rPr>
          <w:rFonts w:ascii="Verdana" w:eastAsia="Verdana" w:hAnsi="Verdana" w:cs="Verdana"/>
          <w:sz w:val="20"/>
          <w:szCs w:val="20"/>
        </w:rPr>
        <w:t xml:space="preserve">than </w:t>
      </w:r>
      <w:r w:rsidR="000A206C" w:rsidRPr="000A206C">
        <w:rPr>
          <w:rFonts w:ascii="Verdana" w:eastAsia="Verdana" w:hAnsi="Verdana" w:cs="Verdana"/>
          <w:sz w:val="20"/>
          <w:szCs w:val="20"/>
        </w:rPr>
        <w:t>14</w:t>
      </w:r>
      <w:r w:rsidRPr="000A206C">
        <w:rPr>
          <w:rFonts w:ascii="Verdana" w:eastAsia="Verdana" w:hAnsi="Verdana" w:cs="Verdana"/>
          <w:sz w:val="20"/>
          <w:szCs w:val="20"/>
        </w:rPr>
        <w:t xml:space="preserve"> </w:t>
      </w:r>
      <w:r w:rsidR="00B115FE" w:rsidRPr="000A206C">
        <w:rPr>
          <w:rFonts w:ascii="Verdana" w:eastAsia="Verdana" w:hAnsi="Verdana" w:cs="Verdana"/>
          <w:sz w:val="20"/>
          <w:szCs w:val="20"/>
        </w:rPr>
        <w:t>April</w:t>
      </w:r>
      <w:r w:rsidRPr="000A206C">
        <w:rPr>
          <w:rFonts w:ascii="Verdana" w:eastAsia="Verdana" w:hAnsi="Verdana" w:cs="Verdana"/>
          <w:sz w:val="20"/>
          <w:szCs w:val="20"/>
        </w:rPr>
        <w:t xml:space="preserve"> 2025,</w:t>
      </w:r>
      <w:r>
        <w:rPr>
          <w:rFonts w:ascii="Verdana" w:eastAsia="Verdana" w:hAnsi="Verdana" w:cs="Verdana"/>
          <w:sz w:val="20"/>
          <w:szCs w:val="20"/>
        </w:rPr>
        <w:t xml:space="preserve"> 18:00 Kyiv time.</w:t>
      </w:r>
      <w:r w:rsidR="0073391F">
        <w:rPr>
          <w:rFonts w:ascii="Verdana" w:eastAsia="Verdana" w:hAnsi="Verdana" w:cs="Verdana"/>
          <w:sz w:val="20"/>
          <w:szCs w:val="20"/>
        </w:rPr>
        <w:t xml:space="preserve"> </w:t>
      </w:r>
    </w:p>
    <w:p w14:paraId="4A519615" w14:textId="04C3B2E4" w:rsidR="00E57F87" w:rsidRPr="0073391F" w:rsidRDefault="007C0905" w:rsidP="008B5B58">
      <w:pPr>
        <w:spacing w:after="160"/>
        <w:jc w:val="both"/>
        <w:rPr>
          <w:rFonts w:ascii="Verdana" w:eastAsia="Verdana" w:hAnsi="Verdana" w:cs="Verdana"/>
          <w:b/>
          <w:bCs/>
          <w:sz w:val="20"/>
          <w:szCs w:val="20"/>
        </w:rPr>
      </w:pPr>
      <w:r w:rsidRPr="0073391F">
        <w:rPr>
          <w:rFonts w:ascii="Verdana" w:eastAsia="Verdana" w:hAnsi="Verdana" w:cs="Verdana"/>
          <w:b/>
          <w:bCs/>
          <w:color w:val="000000"/>
          <w:sz w:val="20"/>
          <w:szCs w:val="20"/>
        </w:rPr>
        <w:t>Evaluation criteria</w:t>
      </w:r>
    </w:p>
    <w:p w14:paraId="36F78017" w14:textId="77777777" w:rsidR="00E57F87" w:rsidRDefault="007C0905" w:rsidP="008B5B58">
      <w:pPr>
        <w:spacing w:after="160"/>
        <w:rPr>
          <w:rFonts w:ascii="Verdana" w:eastAsia="Verdana" w:hAnsi="Verdana" w:cs="Verdana"/>
          <w:color w:val="000000"/>
          <w:sz w:val="20"/>
          <w:szCs w:val="20"/>
        </w:rPr>
      </w:pPr>
      <w:r>
        <w:rPr>
          <w:rFonts w:ascii="Verdana" w:eastAsia="Verdana" w:hAnsi="Verdana" w:cs="Verdana"/>
          <w:color w:val="000000"/>
          <w:sz w:val="20"/>
          <w:szCs w:val="20"/>
        </w:rPr>
        <w:t>Bids will be evaluated under the criteria provided below:</w:t>
      </w:r>
    </w:p>
    <w:tbl>
      <w:tblPr>
        <w:tblStyle w:val="a"/>
        <w:tblW w:w="9586"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2"/>
        <w:gridCol w:w="6662"/>
        <w:gridCol w:w="2302"/>
      </w:tblGrid>
      <w:tr w:rsidR="00E57F87" w14:paraId="26DA7795" w14:textId="77777777" w:rsidTr="008B5B58">
        <w:trPr>
          <w:trHeight w:val="468"/>
        </w:trPr>
        <w:tc>
          <w:tcPr>
            <w:tcW w:w="622" w:type="dxa"/>
            <w:tcBorders>
              <w:top w:val="single" w:sz="8" w:space="0" w:color="000000"/>
              <w:left w:val="nil"/>
              <w:bottom w:val="single" w:sz="4" w:space="0" w:color="000000"/>
            </w:tcBorders>
            <w:shd w:val="clear" w:color="auto" w:fill="4F81BD"/>
          </w:tcPr>
          <w:p w14:paraId="4FF9D1BD" w14:textId="77777777" w:rsidR="00E57F87" w:rsidRDefault="007C0905">
            <w:pPr>
              <w:rPr>
                <w:rFonts w:ascii="Verdana" w:eastAsia="Verdana" w:hAnsi="Verdana" w:cs="Verdana"/>
                <w:b/>
                <w:color w:val="000000"/>
                <w:sz w:val="20"/>
                <w:szCs w:val="20"/>
              </w:rPr>
            </w:pPr>
            <w:r>
              <w:rPr>
                <w:rFonts w:ascii="Verdana" w:eastAsia="Verdana" w:hAnsi="Verdana" w:cs="Verdana"/>
                <w:b/>
                <w:color w:val="000000"/>
                <w:sz w:val="20"/>
                <w:szCs w:val="20"/>
              </w:rPr>
              <w:t>#</w:t>
            </w:r>
          </w:p>
        </w:tc>
        <w:tc>
          <w:tcPr>
            <w:tcW w:w="6662" w:type="dxa"/>
            <w:tcBorders>
              <w:top w:val="single" w:sz="8" w:space="0" w:color="000000"/>
              <w:bottom w:val="single" w:sz="4" w:space="0" w:color="000000"/>
            </w:tcBorders>
            <w:shd w:val="clear" w:color="auto" w:fill="4F81BD"/>
          </w:tcPr>
          <w:p w14:paraId="3DF02244" w14:textId="77777777" w:rsidR="00E57F87" w:rsidRDefault="007C0905">
            <w:pPr>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2302" w:type="dxa"/>
            <w:tcBorders>
              <w:top w:val="single" w:sz="8" w:space="0" w:color="000000"/>
              <w:bottom w:val="single" w:sz="4" w:space="0" w:color="000000"/>
              <w:right w:val="nil"/>
            </w:tcBorders>
            <w:shd w:val="clear" w:color="auto" w:fill="4F81BD"/>
          </w:tcPr>
          <w:p w14:paraId="405F660B" w14:textId="77777777" w:rsidR="00E57F87" w:rsidRDefault="007C0905">
            <w:pPr>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E57F87" w14:paraId="4CF957D1" w14:textId="77777777" w:rsidTr="008B5B58">
        <w:tc>
          <w:tcPr>
            <w:tcW w:w="622" w:type="dxa"/>
            <w:tcBorders>
              <w:top w:val="dotted" w:sz="4" w:space="0" w:color="000000"/>
              <w:left w:val="nil"/>
              <w:bottom w:val="dotted" w:sz="4" w:space="0" w:color="000000"/>
            </w:tcBorders>
          </w:tcPr>
          <w:p w14:paraId="262A62D3" w14:textId="77777777" w:rsidR="00E57F87" w:rsidRDefault="007C0905">
            <w:pPr>
              <w:rPr>
                <w:rFonts w:ascii="Verdana" w:eastAsia="Verdana" w:hAnsi="Verdana" w:cs="Verdana"/>
                <w:color w:val="000000"/>
                <w:sz w:val="20"/>
                <w:szCs w:val="20"/>
              </w:rPr>
            </w:pPr>
            <w:r>
              <w:rPr>
                <w:rFonts w:ascii="Verdana" w:eastAsia="Verdana" w:hAnsi="Verdana" w:cs="Verdana"/>
                <w:color w:val="000000"/>
                <w:sz w:val="20"/>
                <w:szCs w:val="20"/>
              </w:rPr>
              <w:t>1</w:t>
            </w:r>
          </w:p>
        </w:tc>
        <w:tc>
          <w:tcPr>
            <w:tcW w:w="6662" w:type="dxa"/>
            <w:tcBorders>
              <w:top w:val="dotted" w:sz="4" w:space="0" w:color="000000"/>
              <w:bottom w:val="dotted" w:sz="4" w:space="0" w:color="000000"/>
            </w:tcBorders>
          </w:tcPr>
          <w:p w14:paraId="431E0E5F" w14:textId="77777777" w:rsidR="00E57F87" w:rsidRDefault="007C0905">
            <w:pPr>
              <w:rPr>
                <w:rFonts w:ascii="Verdana" w:eastAsia="Verdana" w:hAnsi="Verdana" w:cs="Verdana"/>
                <w:color w:val="000000"/>
                <w:sz w:val="20"/>
                <w:szCs w:val="20"/>
              </w:rPr>
            </w:pPr>
            <w:r>
              <w:rPr>
                <w:rFonts w:ascii="Verdana" w:eastAsia="Verdana" w:hAnsi="Verdana" w:cs="Verdana"/>
                <w:color w:val="000000"/>
                <w:sz w:val="20"/>
                <w:szCs w:val="20"/>
              </w:rPr>
              <w:t>Relevant experience, skills and competencies, CV</w:t>
            </w:r>
          </w:p>
        </w:tc>
        <w:tc>
          <w:tcPr>
            <w:tcW w:w="2302" w:type="dxa"/>
            <w:tcBorders>
              <w:top w:val="dotted" w:sz="4" w:space="0" w:color="000000"/>
              <w:bottom w:val="dotted" w:sz="4" w:space="0" w:color="000000"/>
              <w:right w:val="nil"/>
            </w:tcBorders>
          </w:tcPr>
          <w:p w14:paraId="731A248E" w14:textId="77777777" w:rsidR="00E57F87" w:rsidRDefault="007C0905">
            <w:pPr>
              <w:rPr>
                <w:rFonts w:ascii="Verdana" w:eastAsia="Verdana" w:hAnsi="Verdana" w:cs="Verdana"/>
                <w:color w:val="000000"/>
                <w:sz w:val="20"/>
                <w:szCs w:val="20"/>
              </w:rPr>
            </w:pPr>
            <w:r>
              <w:rPr>
                <w:rFonts w:ascii="Verdana" w:eastAsia="Verdana" w:hAnsi="Verdana" w:cs="Verdana"/>
                <w:color w:val="000000"/>
                <w:sz w:val="20"/>
                <w:szCs w:val="20"/>
              </w:rPr>
              <w:t>80%</w:t>
            </w:r>
          </w:p>
        </w:tc>
      </w:tr>
      <w:tr w:rsidR="00E57F87" w14:paraId="41628E89" w14:textId="77777777" w:rsidTr="008B5B58">
        <w:tc>
          <w:tcPr>
            <w:tcW w:w="622" w:type="dxa"/>
            <w:tcBorders>
              <w:top w:val="dotted" w:sz="4" w:space="0" w:color="000000"/>
              <w:left w:val="nil"/>
              <w:bottom w:val="single" w:sz="4" w:space="0" w:color="000000"/>
            </w:tcBorders>
          </w:tcPr>
          <w:p w14:paraId="14AACD10" w14:textId="77777777" w:rsidR="00E57F87" w:rsidRDefault="007C0905">
            <w:pPr>
              <w:rPr>
                <w:rFonts w:ascii="Verdana" w:eastAsia="Verdana" w:hAnsi="Verdana" w:cs="Verdana"/>
                <w:color w:val="000000"/>
                <w:sz w:val="20"/>
                <w:szCs w:val="20"/>
              </w:rPr>
            </w:pPr>
            <w:r>
              <w:rPr>
                <w:rFonts w:ascii="Verdana" w:eastAsia="Verdana" w:hAnsi="Verdana" w:cs="Verdana"/>
                <w:color w:val="000000"/>
                <w:sz w:val="20"/>
                <w:szCs w:val="20"/>
              </w:rPr>
              <w:t>2</w:t>
            </w:r>
          </w:p>
        </w:tc>
        <w:tc>
          <w:tcPr>
            <w:tcW w:w="6662" w:type="dxa"/>
            <w:tcBorders>
              <w:top w:val="dotted" w:sz="4" w:space="0" w:color="000000"/>
              <w:bottom w:val="single" w:sz="4" w:space="0" w:color="000000"/>
            </w:tcBorders>
          </w:tcPr>
          <w:p w14:paraId="77899402" w14:textId="77777777" w:rsidR="00E57F87" w:rsidRDefault="007C0905">
            <w:pPr>
              <w:rPr>
                <w:rFonts w:ascii="Verdana" w:eastAsia="Verdana" w:hAnsi="Verdana" w:cs="Verdana"/>
                <w:color w:val="000000"/>
                <w:sz w:val="20"/>
                <w:szCs w:val="20"/>
              </w:rPr>
            </w:pPr>
            <w:r>
              <w:rPr>
                <w:rFonts w:ascii="Verdana" w:eastAsia="Verdana" w:hAnsi="Verdana" w:cs="Verdana"/>
                <w:color w:val="000000"/>
                <w:sz w:val="20"/>
                <w:szCs w:val="20"/>
              </w:rPr>
              <w:t>Proposed budget</w:t>
            </w:r>
          </w:p>
        </w:tc>
        <w:tc>
          <w:tcPr>
            <w:tcW w:w="2302" w:type="dxa"/>
            <w:tcBorders>
              <w:top w:val="dotted" w:sz="4" w:space="0" w:color="000000"/>
              <w:bottom w:val="single" w:sz="4" w:space="0" w:color="000000"/>
              <w:right w:val="nil"/>
            </w:tcBorders>
          </w:tcPr>
          <w:p w14:paraId="74000F94" w14:textId="77777777" w:rsidR="00E57F87" w:rsidRDefault="007C0905">
            <w:pPr>
              <w:rPr>
                <w:rFonts w:ascii="Verdana" w:eastAsia="Verdana" w:hAnsi="Verdana" w:cs="Verdana"/>
                <w:color w:val="000000"/>
                <w:sz w:val="20"/>
                <w:szCs w:val="20"/>
              </w:rPr>
            </w:pPr>
            <w:r>
              <w:rPr>
                <w:rFonts w:ascii="Verdana" w:eastAsia="Verdana" w:hAnsi="Verdana" w:cs="Verdana"/>
                <w:color w:val="000000"/>
                <w:sz w:val="20"/>
                <w:szCs w:val="20"/>
              </w:rPr>
              <w:t>20%</w:t>
            </w:r>
          </w:p>
        </w:tc>
      </w:tr>
    </w:tbl>
    <w:p w14:paraId="7D02FBA7" w14:textId="77777777" w:rsidR="00E57F87" w:rsidRDefault="00E57F87">
      <w:pPr>
        <w:rPr>
          <w:rFonts w:ascii="Verdana" w:eastAsia="Verdana" w:hAnsi="Verdana" w:cs="Verdana"/>
          <w:color w:val="000000"/>
          <w:sz w:val="20"/>
          <w:szCs w:val="20"/>
        </w:rPr>
      </w:pPr>
    </w:p>
    <w:sectPr w:rsidR="00E57F87" w:rsidSect="008B5B58">
      <w:headerReference w:type="default" r:id="rId11"/>
      <w:footerReference w:type="default" r:id="rId12"/>
      <w:pgSz w:w="11906" w:h="16838"/>
      <w:pgMar w:top="1276" w:right="1416" w:bottom="1701"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B3F53" w14:textId="77777777" w:rsidR="00CC7178" w:rsidRDefault="00CC7178">
      <w:r>
        <w:separator/>
      </w:r>
    </w:p>
  </w:endnote>
  <w:endnote w:type="continuationSeparator" w:id="0">
    <w:p w14:paraId="59F417FF" w14:textId="77777777" w:rsidR="00CC7178" w:rsidRDefault="00CC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DDB3" w14:textId="77777777" w:rsidR="00E57F87" w:rsidRDefault="007C0905">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0B0BAD8A" wp14:editId="5A0D40C0">
          <wp:extent cx="3602913" cy="111214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602913" cy="11121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92D5" w14:textId="77777777" w:rsidR="00CC7178" w:rsidRDefault="00CC7178">
      <w:r>
        <w:separator/>
      </w:r>
    </w:p>
  </w:footnote>
  <w:footnote w:type="continuationSeparator" w:id="0">
    <w:p w14:paraId="53146E30" w14:textId="77777777" w:rsidR="00CC7178" w:rsidRDefault="00CC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BDAD" w14:textId="4E67E4BF" w:rsidR="00E57F87" w:rsidRDefault="000776D4">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rPr>
      <w:drawing>
        <wp:anchor distT="0" distB="0" distL="114300" distR="114300" simplePos="0" relativeHeight="251658240" behindDoc="0" locked="0" layoutInCell="1" hidden="0" allowOverlap="1" wp14:anchorId="3D7E3257" wp14:editId="7498145B">
          <wp:simplePos x="0" y="0"/>
          <wp:positionH relativeFrom="column">
            <wp:posOffset>4262554</wp:posOffset>
          </wp:positionH>
          <wp:positionV relativeFrom="paragraph">
            <wp:posOffset>45069</wp:posOffset>
          </wp:positionV>
          <wp:extent cx="1608881" cy="850322"/>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08881" cy="850322"/>
                  </a:xfrm>
                  <a:prstGeom prst="rect">
                    <a:avLst/>
                  </a:prstGeom>
                  <a:ln/>
                </pic:spPr>
              </pic:pic>
            </a:graphicData>
          </a:graphic>
          <wp14:sizeRelH relativeFrom="margin">
            <wp14:pctWidth>0</wp14:pctWidth>
          </wp14:sizeRelH>
          <wp14:sizeRelV relativeFrom="margin">
            <wp14:pctHeight>0</wp14:pctHeight>
          </wp14:sizeRelV>
        </wp:anchor>
      </w:drawing>
    </w:r>
    <w:r w:rsidR="007C0905">
      <w:rPr>
        <w:rFonts w:ascii="Verdana" w:eastAsia="Verdana" w:hAnsi="Verdana" w:cs="Verdana"/>
        <w:noProof/>
        <w:color w:val="000000"/>
        <w:sz w:val="20"/>
        <w:szCs w:val="20"/>
      </w:rPr>
      <w:drawing>
        <wp:inline distT="0" distB="0" distL="0" distR="0" wp14:anchorId="0EA417CE" wp14:editId="0C4C0971">
          <wp:extent cx="5758207" cy="831317"/>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1379" t="45284" r="12595" b="4454"/>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5B4B"/>
    <w:multiLevelType w:val="multilevel"/>
    <w:tmpl w:val="453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1261F"/>
    <w:multiLevelType w:val="multilevel"/>
    <w:tmpl w:val="5D5E66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FF1B1E"/>
    <w:multiLevelType w:val="multilevel"/>
    <w:tmpl w:val="FA08A440"/>
    <w:lvl w:ilvl="0">
      <w:start w:val="1"/>
      <w:numFmt w:val="decimal"/>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B50D19"/>
    <w:multiLevelType w:val="multilevel"/>
    <w:tmpl w:val="66B6BF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FA52CE6"/>
    <w:multiLevelType w:val="multilevel"/>
    <w:tmpl w:val="57A028D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975D72"/>
    <w:multiLevelType w:val="multilevel"/>
    <w:tmpl w:val="6F5EC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B0D621A"/>
    <w:multiLevelType w:val="multilevel"/>
    <w:tmpl w:val="884C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87"/>
    <w:rsid w:val="00046C03"/>
    <w:rsid w:val="000776D4"/>
    <w:rsid w:val="000A206C"/>
    <w:rsid w:val="000A48FB"/>
    <w:rsid w:val="000F01A9"/>
    <w:rsid w:val="00162F9E"/>
    <w:rsid w:val="002558B9"/>
    <w:rsid w:val="0027297B"/>
    <w:rsid w:val="0028336D"/>
    <w:rsid w:val="002A1105"/>
    <w:rsid w:val="0033632B"/>
    <w:rsid w:val="003D708B"/>
    <w:rsid w:val="004754AB"/>
    <w:rsid w:val="004E0FF2"/>
    <w:rsid w:val="005205BB"/>
    <w:rsid w:val="00543651"/>
    <w:rsid w:val="00582FEA"/>
    <w:rsid w:val="0061337E"/>
    <w:rsid w:val="00636BCB"/>
    <w:rsid w:val="00681BB7"/>
    <w:rsid w:val="0073391F"/>
    <w:rsid w:val="007452AC"/>
    <w:rsid w:val="007C0905"/>
    <w:rsid w:val="008B5B58"/>
    <w:rsid w:val="00A34E62"/>
    <w:rsid w:val="00AB03FE"/>
    <w:rsid w:val="00B115FE"/>
    <w:rsid w:val="00B6748C"/>
    <w:rsid w:val="00B67F08"/>
    <w:rsid w:val="00B90650"/>
    <w:rsid w:val="00BC0232"/>
    <w:rsid w:val="00C67D45"/>
    <w:rsid w:val="00CB6F55"/>
    <w:rsid w:val="00CC7178"/>
    <w:rsid w:val="00D84E2B"/>
    <w:rsid w:val="00E53537"/>
    <w:rsid w:val="00E57F87"/>
    <w:rsid w:val="00E84318"/>
    <w:rsid w:val="00EB5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A864"/>
  <w15:docId w15:val="{24B4F17D-12FD-40C3-894C-B2FA6706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paragraph" w:styleId="Sidehoved">
    <w:name w:val="header"/>
    <w:basedOn w:val="Normal"/>
    <w:link w:val="SidehovedTegn"/>
    <w:uiPriority w:val="99"/>
    <w:unhideWhenUsed/>
    <w:rsid w:val="000776D4"/>
    <w:pPr>
      <w:tabs>
        <w:tab w:val="center" w:pos="4819"/>
        <w:tab w:val="right" w:pos="9638"/>
      </w:tabs>
    </w:pPr>
  </w:style>
  <w:style w:type="character" w:customStyle="1" w:styleId="SidehovedTegn">
    <w:name w:val="Sidehoved Tegn"/>
    <w:basedOn w:val="Standardskrifttypeiafsnit"/>
    <w:link w:val="Sidehoved"/>
    <w:uiPriority w:val="99"/>
    <w:rsid w:val="000776D4"/>
  </w:style>
  <w:style w:type="paragraph" w:styleId="Sidefod">
    <w:name w:val="footer"/>
    <w:basedOn w:val="Normal"/>
    <w:link w:val="SidefodTegn"/>
    <w:uiPriority w:val="99"/>
    <w:unhideWhenUsed/>
    <w:rsid w:val="000776D4"/>
    <w:pPr>
      <w:tabs>
        <w:tab w:val="center" w:pos="4819"/>
        <w:tab w:val="right" w:pos="9638"/>
      </w:tabs>
    </w:pPr>
  </w:style>
  <w:style w:type="character" w:customStyle="1" w:styleId="SidefodTegn">
    <w:name w:val="Sidefod Tegn"/>
    <w:basedOn w:val="Standardskrifttypeiafsnit"/>
    <w:link w:val="Sidefod"/>
    <w:uiPriority w:val="99"/>
    <w:rsid w:val="000776D4"/>
  </w:style>
  <w:style w:type="paragraph" w:styleId="NormalWeb">
    <w:name w:val="Normal (Web)"/>
    <w:basedOn w:val="Normal"/>
    <w:uiPriority w:val="99"/>
    <w:semiHidden/>
    <w:unhideWhenUsed/>
    <w:rsid w:val="00582FEA"/>
    <w:pPr>
      <w:spacing w:before="100" w:beforeAutospacing="1" w:after="100" w:afterAutospacing="1"/>
    </w:pPr>
    <w:rPr>
      <w:lang w:val="en-GB"/>
    </w:rPr>
  </w:style>
  <w:style w:type="character" w:styleId="Strk">
    <w:name w:val="Strong"/>
    <w:basedOn w:val="Standardskrifttypeiafsnit"/>
    <w:uiPriority w:val="22"/>
    <w:qFormat/>
    <w:rsid w:val="00582FEA"/>
    <w:rPr>
      <w:b/>
      <w:bCs/>
    </w:rPr>
  </w:style>
  <w:style w:type="character" w:styleId="Kommentarhenvisning">
    <w:name w:val="annotation reference"/>
    <w:basedOn w:val="Standardskrifttypeiafsnit"/>
    <w:uiPriority w:val="99"/>
    <w:semiHidden/>
    <w:unhideWhenUsed/>
    <w:rsid w:val="00681BB7"/>
    <w:rPr>
      <w:sz w:val="16"/>
      <w:szCs w:val="16"/>
    </w:rPr>
  </w:style>
  <w:style w:type="paragraph" w:styleId="Kommentartekst">
    <w:name w:val="annotation text"/>
    <w:basedOn w:val="Normal"/>
    <w:link w:val="KommentartekstTegn"/>
    <w:uiPriority w:val="99"/>
    <w:semiHidden/>
    <w:unhideWhenUsed/>
    <w:rsid w:val="00681BB7"/>
    <w:rPr>
      <w:sz w:val="20"/>
      <w:szCs w:val="20"/>
    </w:rPr>
  </w:style>
  <w:style w:type="character" w:customStyle="1" w:styleId="KommentartekstTegn">
    <w:name w:val="Kommentartekst Tegn"/>
    <w:basedOn w:val="Standardskrifttypeiafsnit"/>
    <w:link w:val="Kommentartekst"/>
    <w:uiPriority w:val="99"/>
    <w:semiHidden/>
    <w:rsid w:val="00681BB7"/>
    <w:rPr>
      <w:sz w:val="20"/>
      <w:szCs w:val="20"/>
    </w:rPr>
  </w:style>
  <w:style w:type="paragraph" w:styleId="Kommentaremne">
    <w:name w:val="annotation subject"/>
    <w:basedOn w:val="Kommentartekst"/>
    <w:next w:val="Kommentartekst"/>
    <w:link w:val="KommentaremneTegn"/>
    <w:uiPriority w:val="99"/>
    <w:semiHidden/>
    <w:unhideWhenUsed/>
    <w:rsid w:val="00681BB7"/>
    <w:rPr>
      <w:b/>
      <w:bCs/>
    </w:rPr>
  </w:style>
  <w:style w:type="character" w:customStyle="1" w:styleId="KommentaremneTegn">
    <w:name w:val="Kommentaremne Tegn"/>
    <w:basedOn w:val="KommentartekstTegn"/>
    <w:link w:val="Kommentaremne"/>
    <w:uiPriority w:val="99"/>
    <w:semiHidden/>
    <w:rsid w:val="00681BB7"/>
    <w:rPr>
      <w:b/>
      <w:bCs/>
      <w:sz w:val="20"/>
      <w:szCs w:val="20"/>
    </w:rPr>
  </w:style>
  <w:style w:type="table" w:styleId="Tabel-Gitter">
    <w:name w:val="Table Grid"/>
    <w:basedOn w:val="Tabel-Normal"/>
    <w:uiPriority w:val="39"/>
    <w:rsid w:val="008B5B58"/>
    <w:rPr>
      <w:rFonts w:ascii="Calibri" w:eastAsia="SimSun" w:hAnsi="Calibri"/>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afsnit">
    <w:name w:val="List Paragraph"/>
    <w:basedOn w:val="Normal"/>
    <w:uiPriority w:val="34"/>
    <w:qFormat/>
    <w:rsid w:val="000A206C"/>
    <w:pPr>
      <w:ind w:left="720"/>
      <w:contextualSpacing/>
    </w:pPr>
  </w:style>
  <w:style w:type="character" w:styleId="Hyperlink">
    <w:name w:val="Hyperlink"/>
    <w:basedOn w:val="Standardskrifttypeiafsnit"/>
    <w:uiPriority w:val="99"/>
    <w:unhideWhenUsed/>
    <w:rsid w:val="00162F9E"/>
    <w:rPr>
      <w:color w:val="0000FF" w:themeColor="hyperlink"/>
      <w:u w:val="single"/>
    </w:rPr>
  </w:style>
  <w:style w:type="character" w:styleId="Ulstomtale">
    <w:name w:val="Unresolved Mention"/>
    <w:basedOn w:val="Standardskrifttypeiafsnit"/>
    <w:uiPriority w:val="99"/>
    <w:semiHidden/>
    <w:unhideWhenUsed/>
    <w:rsid w:val="00162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282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lhkol@um.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uaci@um.d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lhkol@ukr.net" TargetMode="External"/><Relationship Id="rId4" Type="http://schemas.openxmlformats.org/officeDocument/2006/relationships/webSettings" Target="webSettings.xml"/><Relationship Id="rId9" Type="http://schemas.openxmlformats.org/officeDocument/2006/relationships/hyperlink" Target="mailto:euaci@um.d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1159</ap:TotalTime>
  <ap:Pages>4</ap:Pages>
  <ap:Words>1220</ap:Words>
  <ap:Characters>6959</ap:Characters>
  <ap:Application>Microsoft Office Word</ap:Application>
  <ap:DocSecurity>0</ap:DocSecurity>
  <ap:Lines>57</ap:Lines>
  <ap:Paragraphs>16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Company/>
  <ap:LinksUpToDate>false</ap:LinksUpToDate>
  <ap:CharactersWithSpaces>8163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Allan Pagh Kristensen</cp:lastModifiedBy>
  <cp:revision>23</cp:revision>
  <dcterms:created xsi:type="dcterms:W3CDTF">2025-02-19T13:10:00Z</dcterms:created>
  <dcterms:modified xsi:type="dcterms:W3CDTF">2025-04-07T12:54:00Z</dcterms:modified>
</cp:coreProperties>
</file>