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64D4" w14:textId="7458B9F8" w:rsidR="004D1E47" w:rsidRPr="00504990" w:rsidRDefault="00D154B2" w:rsidP="000A123A">
      <w:pPr>
        <w:spacing w:before="240" w:after="240" w:line="240" w:lineRule="auto"/>
        <w:jc w:val="center"/>
        <w:rPr>
          <w:rFonts w:ascii="Verdana" w:eastAsia="Verdana" w:hAnsi="Verdana" w:cs="Verdana"/>
        </w:rPr>
      </w:pPr>
      <w:r w:rsidRPr="00504990">
        <w:rPr>
          <w:rFonts w:ascii="Verdana" w:eastAsia="Verdana" w:hAnsi="Verdana" w:cs="Verdana"/>
          <w:b/>
          <w:bCs/>
        </w:rPr>
        <w:t>TERMS OF REFERENCE</w:t>
      </w:r>
    </w:p>
    <w:p w14:paraId="27E31686" w14:textId="1D2756AC" w:rsidR="004D1E47" w:rsidRPr="00504990" w:rsidRDefault="0034216F" w:rsidP="0032459F">
      <w:pPr>
        <w:spacing w:before="240" w:after="240" w:line="240" w:lineRule="auto"/>
        <w:jc w:val="center"/>
        <w:rPr>
          <w:rFonts w:ascii="Verdana" w:eastAsia="Verdana" w:hAnsi="Verdana" w:cs="Verdana"/>
        </w:rPr>
      </w:pPr>
      <w:r w:rsidRPr="000A123A">
        <w:rPr>
          <w:rFonts w:ascii="Verdana" w:eastAsia="Verdana" w:hAnsi="Verdana" w:cs="Verdana"/>
          <w:b/>
        </w:rPr>
        <w:t xml:space="preserve">Support for HACC </w:t>
      </w:r>
      <w:bookmarkStart w:id="0" w:name="_Hlk194513015"/>
      <w:r w:rsidRPr="000A123A">
        <w:rPr>
          <w:rFonts w:ascii="Verdana" w:eastAsia="Verdana" w:hAnsi="Verdana" w:cs="Verdana"/>
          <w:b/>
        </w:rPr>
        <w:t>Information Security and Data Protection</w:t>
      </w:r>
      <w:bookmarkEnd w:id="0"/>
    </w:p>
    <w:p w14:paraId="682980F8" w14:textId="3C5A2481" w:rsidR="0034216F" w:rsidRPr="00504990" w:rsidRDefault="009777D7" w:rsidP="00100DE1">
      <w:pPr>
        <w:pStyle w:val="Heading1"/>
        <w:spacing w:before="240" w:after="120" w:line="240" w:lineRule="auto"/>
        <w:rPr>
          <w:rFonts w:ascii="Verdana" w:hAnsi="Verdana"/>
          <w:color w:val="auto"/>
          <w:sz w:val="20"/>
          <w:szCs w:val="20"/>
        </w:rPr>
      </w:pPr>
      <w:bookmarkStart w:id="1" w:name="_Hlk194511447"/>
      <w:r w:rsidRPr="00504990">
        <w:rPr>
          <w:rFonts w:ascii="Verdana" w:hAnsi="Verdana"/>
          <w:color w:val="auto"/>
          <w:sz w:val="20"/>
          <w:szCs w:val="20"/>
        </w:rPr>
        <w:t xml:space="preserve">General </w:t>
      </w:r>
      <w:r w:rsidR="002D490E" w:rsidRPr="00504990">
        <w:rPr>
          <w:rFonts w:ascii="Verdana" w:hAnsi="Verdana"/>
          <w:color w:val="auto"/>
          <w:sz w:val="20"/>
          <w:szCs w:val="20"/>
        </w:rPr>
        <w:t>background</w:t>
      </w:r>
    </w:p>
    <w:bookmarkEnd w:id="1"/>
    <w:p w14:paraId="15BCA868" w14:textId="77777777" w:rsidR="0034216F" w:rsidRPr="00504990" w:rsidRDefault="0034216F" w:rsidP="009777D7">
      <w:pPr>
        <w:shd w:val="clear" w:color="auto" w:fill="FFFFFF"/>
        <w:spacing w:before="120" w:after="120" w:line="240" w:lineRule="auto"/>
        <w:jc w:val="both"/>
        <w:rPr>
          <w:rFonts w:ascii="Verdana" w:eastAsia="Verdana" w:hAnsi="Verdana" w:cs="Verdana"/>
          <w:color w:val="000000" w:themeColor="text1"/>
          <w:sz w:val="20"/>
          <w:szCs w:val="20"/>
        </w:rPr>
      </w:pPr>
      <w:r w:rsidRPr="00504990">
        <w:rPr>
          <w:rFonts w:ascii="Verdana" w:eastAsia="Verdana" w:hAnsi="Verdana" w:cs="Verdana"/>
          <w:color w:val="000000" w:themeColor="text1"/>
          <w:sz w:val="20"/>
          <w:szCs w:val="20"/>
        </w:rPr>
        <w:t>The EU Anti-Corruption Initiative in Ukraine (EUACI) is the European Union’s technical support program in the area of anti-corruption in Ukraine, co-</w:t>
      </w:r>
      <w:proofErr w:type="spellStart"/>
      <w:r w:rsidRPr="00504990">
        <w:rPr>
          <w:rFonts w:ascii="Verdana" w:eastAsia="Verdana" w:hAnsi="Verdana" w:cs="Verdana"/>
          <w:color w:val="000000" w:themeColor="text1"/>
          <w:sz w:val="20"/>
          <w:szCs w:val="20"/>
        </w:rPr>
        <w:t>funded</w:t>
      </w:r>
      <w:proofErr w:type="spellEnd"/>
      <w:r w:rsidRPr="00504990">
        <w:rPr>
          <w:rFonts w:ascii="Verdana" w:eastAsia="Verdana" w:hAnsi="Verdana" w:cs="Verdana"/>
          <w:color w:val="000000" w:themeColor="text1"/>
          <w:sz w:val="20"/>
          <w:szCs w:val="20"/>
        </w:rPr>
        <w:t xml:space="preserve"> and implemented by the Ministry of Foreign Affairs in Denmark. The overall objective of the EUACI is </w:t>
      </w:r>
      <w:r w:rsidRPr="00504990">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0DF0D8B3" w14:textId="7F18D9CA" w:rsidR="009777D7" w:rsidRPr="00504990" w:rsidRDefault="009777D7" w:rsidP="009777D7">
      <w:pPr>
        <w:shd w:val="clear" w:color="auto" w:fill="FFFFFF"/>
        <w:spacing w:before="120" w:after="120" w:line="240" w:lineRule="auto"/>
        <w:jc w:val="both"/>
        <w:rPr>
          <w:rFonts w:ascii="Verdana" w:eastAsia="Verdana" w:hAnsi="Verdana" w:cs="Verdana"/>
          <w:color w:val="000000" w:themeColor="text1"/>
          <w:sz w:val="20"/>
          <w:szCs w:val="20"/>
        </w:rPr>
      </w:pPr>
      <w:r w:rsidRPr="00504990">
        <w:rPr>
          <w:rFonts w:ascii="Verdana" w:eastAsia="Verdana" w:hAnsi="Verdana" w:cs="Verdana"/>
          <w:color w:val="000000" w:themeColor="text1"/>
          <w:sz w:val="20"/>
          <w:szCs w:val="20"/>
        </w:rPr>
        <w:t>H</w:t>
      </w:r>
      <w:r w:rsidR="000E611A" w:rsidRPr="00504990">
        <w:rPr>
          <w:rFonts w:ascii="Verdana" w:eastAsia="Verdana" w:hAnsi="Verdana" w:cs="Verdana"/>
          <w:color w:val="000000" w:themeColor="text1"/>
          <w:sz w:val="20"/>
          <w:szCs w:val="20"/>
        </w:rPr>
        <w:t xml:space="preserve">igh </w:t>
      </w:r>
      <w:r w:rsidRPr="00504990">
        <w:rPr>
          <w:rFonts w:ascii="Verdana" w:eastAsia="Verdana" w:hAnsi="Verdana" w:cs="Verdana"/>
          <w:color w:val="000000" w:themeColor="text1"/>
          <w:sz w:val="20"/>
          <w:szCs w:val="20"/>
        </w:rPr>
        <w:t>A</w:t>
      </w:r>
      <w:r w:rsidR="000E611A" w:rsidRPr="00504990">
        <w:rPr>
          <w:rFonts w:ascii="Verdana" w:eastAsia="Verdana" w:hAnsi="Verdana" w:cs="Verdana"/>
          <w:color w:val="000000" w:themeColor="text1"/>
          <w:sz w:val="20"/>
          <w:szCs w:val="20"/>
        </w:rPr>
        <w:t>nti-</w:t>
      </w:r>
      <w:r w:rsidRPr="00504990">
        <w:rPr>
          <w:rFonts w:ascii="Verdana" w:eastAsia="Verdana" w:hAnsi="Verdana" w:cs="Verdana"/>
          <w:color w:val="000000" w:themeColor="text1"/>
          <w:sz w:val="20"/>
          <w:szCs w:val="20"/>
        </w:rPr>
        <w:t>C</w:t>
      </w:r>
      <w:r w:rsidR="000E611A" w:rsidRPr="00504990">
        <w:rPr>
          <w:rFonts w:ascii="Verdana" w:eastAsia="Verdana" w:hAnsi="Verdana" w:cs="Verdana"/>
          <w:color w:val="000000" w:themeColor="text1"/>
          <w:sz w:val="20"/>
          <w:szCs w:val="20"/>
        </w:rPr>
        <w:t xml:space="preserve">orruption </w:t>
      </w:r>
      <w:r w:rsidRPr="00504990">
        <w:rPr>
          <w:rFonts w:ascii="Verdana" w:eastAsia="Verdana" w:hAnsi="Verdana" w:cs="Verdana"/>
          <w:color w:val="000000" w:themeColor="text1"/>
          <w:sz w:val="20"/>
          <w:szCs w:val="20"/>
        </w:rPr>
        <w:t>C</w:t>
      </w:r>
      <w:r w:rsidR="000E611A" w:rsidRPr="00504990">
        <w:rPr>
          <w:rFonts w:ascii="Verdana" w:eastAsia="Verdana" w:hAnsi="Verdana" w:cs="Verdana"/>
          <w:color w:val="000000" w:themeColor="text1"/>
          <w:sz w:val="20"/>
          <w:szCs w:val="20"/>
        </w:rPr>
        <w:t>ourt (HACC)</w:t>
      </w:r>
      <w:r w:rsidRPr="00504990">
        <w:rPr>
          <w:rFonts w:ascii="Verdana" w:eastAsia="Verdana" w:hAnsi="Verdana" w:cs="Verdana"/>
          <w:color w:val="000000" w:themeColor="text1"/>
          <w:sz w:val="20"/>
          <w:szCs w:val="20"/>
        </w:rPr>
        <w:t xml:space="preserve"> is one of the key partners of the EUACI, playing a crucial role in the joint efforts to strengthen anti-corruption institutions and enhance the rule of law in Ukraine. As part of this cooperation, the EUACI supports HACC's IT capacity building, ensuring the court has the necessary digital infrastructure to operate efficiently and securely.</w:t>
      </w:r>
    </w:p>
    <w:p w14:paraId="3DF7834C" w14:textId="39EA7003" w:rsidR="009777D7" w:rsidRPr="00504990" w:rsidRDefault="000E611A" w:rsidP="009777D7">
      <w:pPr>
        <w:shd w:val="clear" w:color="auto" w:fill="FFFFFF"/>
        <w:spacing w:before="120" w:after="120" w:line="240" w:lineRule="auto"/>
        <w:jc w:val="both"/>
        <w:rPr>
          <w:rFonts w:ascii="Verdana" w:eastAsia="Verdana" w:hAnsi="Verdana" w:cs="Verdana"/>
          <w:color w:val="000000" w:themeColor="text1"/>
          <w:sz w:val="20"/>
          <w:szCs w:val="20"/>
        </w:rPr>
      </w:pPr>
      <w:r w:rsidRPr="009777D7">
        <w:rPr>
          <w:rFonts w:ascii="Verdana" w:eastAsia="Verdana" w:hAnsi="Verdana" w:cs="Verdana"/>
          <w:color w:val="000000" w:themeColor="text1"/>
          <w:sz w:val="20"/>
          <w:szCs w:val="20"/>
        </w:rPr>
        <w:t>The existing HACC IT infrastructure includes software and hardware solutions designed to protect it from cybersecurity threats. These solutions require ongoing maintenance and support, including software renewals, hardware support extensions, and the procurement of new software and hardware.</w:t>
      </w:r>
      <w:r w:rsidR="000A123A">
        <w:rPr>
          <w:rFonts w:ascii="Verdana" w:eastAsia="Verdana" w:hAnsi="Verdana" w:cs="Verdana"/>
          <w:color w:val="000000" w:themeColor="text1"/>
          <w:sz w:val="20"/>
          <w:szCs w:val="20"/>
        </w:rPr>
        <w:t xml:space="preserve"> </w:t>
      </w:r>
      <w:r w:rsidRPr="009777D7">
        <w:rPr>
          <w:rFonts w:ascii="Verdana" w:eastAsia="Verdana" w:hAnsi="Verdana" w:cs="Verdana"/>
          <w:color w:val="000000" w:themeColor="text1"/>
          <w:sz w:val="20"/>
          <w:szCs w:val="20"/>
        </w:rPr>
        <w:t>HACC faces challenges in maintaining and modernizing its IT infrastructure, particularly in the area of information security.</w:t>
      </w:r>
    </w:p>
    <w:p w14:paraId="2B71982D" w14:textId="1F05F047" w:rsidR="009777D7" w:rsidRPr="00504990" w:rsidRDefault="000E611A" w:rsidP="009777D7">
      <w:pPr>
        <w:shd w:val="clear" w:color="auto" w:fill="FFFFFF"/>
        <w:spacing w:before="120" w:after="120" w:line="240" w:lineRule="auto"/>
        <w:jc w:val="both"/>
        <w:rPr>
          <w:rFonts w:ascii="Verdana" w:eastAsia="Verdana" w:hAnsi="Verdana" w:cs="Verdana"/>
          <w:color w:val="000000" w:themeColor="text1"/>
          <w:sz w:val="20"/>
          <w:szCs w:val="20"/>
        </w:rPr>
      </w:pPr>
      <w:r w:rsidRPr="00504990">
        <w:rPr>
          <w:rFonts w:ascii="Verdana" w:eastAsia="Verdana" w:hAnsi="Verdana" w:cs="Verdana"/>
          <w:color w:val="000000" w:themeColor="text1"/>
          <w:sz w:val="20"/>
          <w:szCs w:val="20"/>
        </w:rPr>
        <w:t>EUACI supports HACC's information security systems to ensure they remain fully functional, safeguarding confidential data and enabling the institution to effectively fulfil its mandate.</w:t>
      </w:r>
    </w:p>
    <w:p w14:paraId="23B9F0E5" w14:textId="478837D0" w:rsidR="000E611A" w:rsidRPr="000E611A" w:rsidRDefault="000E611A" w:rsidP="000E611A">
      <w:pPr>
        <w:shd w:val="clear" w:color="auto" w:fill="FFFFFF"/>
        <w:spacing w:before="120" w:after="120" w:line="240" w:lineRule="auto"/>
        <w:jc w:val="both"/>
        <w:rPr>
          <w:rFonts w:ascii="Verdana" w:eastAsia="Verdana" w:hAnsi="Verdana" w:cs="Verdana"/>
          <w:bCs/>
          <w:color w:val="000000" w:themeColor="text1"/>
          <w:sz w:val="20"/>
          <w:szCs w:val="20"/>
        </w:rPr>
      </w:pPr>
      <w:r w:rsidRPr="00504990">
        <w:rPr>
          <w:rFonts w:ascii="Verdana" w:eastAsia="Verdana" w:hAnsi="Verdana" w:cs="Verdana"/>
          <w:bCs/>
          <w:color w:val="000000" w:themeColor="text1"/>
          <w:sz w:val="20"/>
          <w:szCs w:val="20"/>
        </w:rPr>
        <w:t>HACC</w:t>
      </w:r>
      <w:r w:rsidRPr="000E611A">
        <w:rPr>
          <w:rFonts w:ascii="Verdana" w:eastAsia="Verdana" w:hAnsi="Verdana" w:cs="Verdana"/>
          <w:bCs/>
          <w:color w:val="000000" w:themeColor="text1"/>
          <w:sz w:val="20"/>
          <w:szCs w:val="20"/>
        </w:rPr>
        <w:t xml:space="preserve"> is a beneficiary for the procurement. The contracting authority is the Ministry of Foreign Affairs of Denmark, EUACI</w:t>
      </w:r>
      <w:r w:rsidR="00835597">
        <w:rPr>
          <w:rFonts w:ascii="Verdana" w:eastAsia="Verdana" w:hAnsi="Verdana" w:cs="Verdana"/>
          <w:bCs/>
          <w:color w:val="000000" w:themeColor="text1"/>
          <w:sz w:val="20"/>
          <w:szCs w:val="20"/>
        </w:rPr>
        <w:t>.</w:t>
      </w:r>
    </w:p>
    <w:p w14:paraId="5A90EBE7" w14:textId="77777777" w:rsidR="009777D7" w:rsidRPr="00504990" w:rsidRDefault="009777D7" w:rsidP="00100DE1">
      <w:pPr>
        <w:pStyle w:val="Heading1"/>
        <w:spacing w:before="120" w:after="120" w:line="240" w:lineRule="auto"/>
        <w:rPr>
          <w:rFonts w:ascii="Verdana" w:hAnsi="Verdana"/>
          <w:color w:val="auto"/>
          <w:sz w:val="20"/>
          <w:szCs w:val="20"/>
        </w:rPr>
      </w:pPr>
      <w:bookmarkStart w:id="2" w:name="_Hlk194512482"/>
      <w:r w:rsidRPr="00504990">
        <w:rPr>
          <w:rFonts w:ascii="Verdana" w:hAnsi="Verdana"/>
          <w:color w:val="auto"/>
          <w:sz w:val="20"/>
          <w:szCs w:val="20"/>
        </w:rPr>
        <w:t>Objective</w:t>
      </w:r>
    </w:p>
    <w:bookmarkEnd w:id="2"/>
    <w:p w14:paraId="42ED1E27" w14:textId="77777777" w:rsidR="000E611A" w:rsidRPr="000E611A" w:rsidRDefault="000E611A" w:rsidP="000E611A">
      <w:pPr>
        <w:spacing w:before="120" w:after="120" w:line="240" w:lineRule="auto"/>
        <w:jc w:val="both"/>
        <w:rPr>
          <w:rFonts w:ascii="Verdana" w:hAnsi="Verdana"/>
          <w:iCs/>
          <w:sz w:val="20"/>
          <w:szCs w:val="20"/>
        </w:rPr>
      </w:pPr>
      <w:r w:rsidRPr="000E611A">
        <w:rPr>
          <w:rFonts w:ascii="Verdana" w:hAnsi="Verdana"/>
          <w:iCs/>
          <w:sz w:val="20"/>
          <w:szCs w:val="20"/>
        </w:rPr>
        <w:t xml:space="preserve">The objective of this procurement is to provide HACC with </w:t>
      </w:r>
      <w:bookmarkStart w:id="3" w:name="_Hlk194504572"/>
      <w:bookmarkStart w:id="4" w:name="_Hlk194498648"/>
      <w:r w:rsidRPr="000E611A">
        <w:rPr>
          <w:rFonts w:ascii="Verdana" w:hAnsi="Verdana"/>
          <w:iCs/>
          <w:sz w:val="20"/>
          <w:szCs w:val="20"/>
        </w:rPr>
        <w:t>software renewals, hardware support extensions, and new software and hardware</w:t>
      </w:r>
      <w:bookmarkEnd w:id="3"/>
      <w:r w:rsidRPr="000E611A">
        <w:rPr>
          <w:rFonts w:ascii="Verdana" w:hAnsi="Verdana"/>
          <w:iCs/>
          <w:sz w:val="20"/>
          <w:szCs w:val="20"/>
        </w:rPr>
        <w:t xml:space="preserve"> </w:t>
      </w:r>
      <w:bookmarkEnd w:id="4"/>
      <w:r w:rsidRPr="000E611A">
        <w:rPr>
          <w:rFonts w:ascii="Verdana" w:hAnsi="Verdana"/>
          <w:iCs/>
          <w:sz w:val="20"/>
          <w:szCs w:val="20"/>
        </w:rPr>
        <w:t>to ensure the uninterrupted operation of its information security systems. This procurement aims to enhance HACC's information security and data protection capacity, enabling HACC to fulfil its mandate more efficiently and effectively.</w:t>
      </w:r>
    </w:p>
    <w:p w14:paraId="07103777" w14:textId="36997463" w:rsidR="00F6647C" w:rsidRPr="00504990" w:rsidRDefault="001A1810" w:rsidP="00100DE1">
      <w:pPr>
        <w:pStyle w:val="Heading1"/>
        <w:spacing w:before="120" w:after="120" w:line="240" w:lineRule="auto"/>
        <w:rPr>
          <w:rFonts w:ascii="Verdana" w:hAnsi="Verdana"/>
          <w:color w:val="auto"/>
          <w:sz w:val="20"/>
          <w:szCs w:val="20"/>
        </w:rPr>
      </w:pPr>
      <w:r w:rsidRPr="001A1810">
        <w:rPr>
          <w:rFonts w:ascii="Verdana" w:hAnsi="Verdana"/>
          <w:color w:val="auto"/>
          <w:sz w:val="20"/>
          <w:szCs w:val="20"/>
        </w:rPr>
        <w:t>Deliverables</w:t>
      </w:r>
    </w:p>
    <w:p w14:paraId="0E05B804" w14:textId="34BEF78B" w:rsidR="002D7B46" w:rsidRDefault="00F6647C" w:rsidP="00100DE1">
      <w:pPr>
        <w:spacing w:before="120" w:after="120" w:line="240" w:lineRule="auto"/>
        <w:jc w:val="both"/>
        <w:rPr>
          <w:rFonts w:ascii="Verdana" w:eastAsia="Verdana" w:hAnsi="Verdana" w:cs="Verdana"/>
          <w:sz w:val="20"/>
          <w:szCs w:val="20"/>
        </w:rPr>
      </w:pPr>
      <w:r w:rsidRPr="00504990">
        <w:rPr>
          <w:rFonts w:ascii="Verdana" w:eastAsia="Verdana" w:hAnsi="Verdana" w:cs="Verdana"/>
          <w:sz w:val="20"/>
          <w:szCs w:val="20"/>
        </w:rPr>
        <w:t xml:space="preserve">The subject of the tender </w:t>
      </w:r>
      <w:r w:rsidR="001A1810">
        <w:rPr>
          <w:rFonts w:ascii="Verdana" w:eastAsia="Verdana" w:hAnsi="Verdana" w:cs="Verdana"/>
          <w:sz w:val="20"/>
          <w:szCs w:val="20"/>
        </w:rPr>
        <w:t>(</w:t>
      </w:r>
      <w:r w:rsidR="001A1810" w:rsidRPr="000E611A">
        <w:rPr>
          <w:rFonts w:ascii="Verdana" w:eastAsia="Verdana" w:hAnsi="Verdana" w:cs="Verdana"/>
          <w:iCs/>
          <w:sz w:val="20"/>
          <w:szCs w:val="20"/>
        </w:rPr>
        <w:t>software renewals, hardware support extensions, and new software and hardware</w:t>
      </w:r>
      <w:r w:rsidR="001A1810">
        <w:rPr>
          <w:rFonts w:ascii="Verdana" w:eastAsia="Verdana" w:hAnsi="Verdana" w:cs="Verdana"/>
          <w:iCs/>
          <w:sz w:val="20"/>
          <w:szCs w:val="20"/>
        </w:rPr>
        <w:t>)</w:t>
      </w:r>
      <w:r w:rsidR="001A1810" w:rsidRPr="001A1810">
        <w:rPr>
          <w:rFonts w:ascii="Verdana" w:eastAsia="Verdana" w:hAnsi="Verdana" w:cs="Verdana"/>
          <w:sz w:val="20"/>
          <w:szCs w:val="20"/>
        </w:rPr>
        <w:t xml:space="preserve"> </w:t>
      </w:r>
      <w:r w:rsidRPr="00504990">
        <w:rPr>
          <w:rFonts w:ascii="Verdana" w:eastAsia="Verdana" w:hAnsi="Verdana" w:cs="Verdana"/>
          <w:sz w:val="20"/>
          <w:szCs w:val="20"/>
        </w:rPr>
        <w:t>is listed below:</w:t>
      </w:r>
    </w:p>
    <w:tbl>
      <w:tblPr>
        <w:tblW w:w="9639"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5244"/>
        <w:gridCol w:w="709"/>
        <w:gridCol w:w="1560"/>
        <w:gridCol w:w="1559"/>
      </w:tblGrid>
      <w:tr w:rsidR="00187DDA" w:rsidRPr="00187DDA" w14:paraId="7463E549" w14:textId="77777777" w:rsidTr="00835597">
        <w:trPr>
          <w:tblHeader/>
        </w:trPr>
        <w:tc>
          <w:tcPr>
            <w:tcW w:w="567" w:type="dxa"/>
            <w:tcBorders>
              <w:top w:val="single" w:sz="8" w:space="0" w:color="000000"/>
              <w:left w:val="nil"/>
              <w:bottom w:val="single" w:sz="4" w:space="0" w:color="000000"/>
              <w:right w:val="single" w:sz="4" w:space="0" w:color="000000"/>
            </w:tcBorders>
            <w:shd w:val="clear" w:color="auto" w:fill="C6D9F1" w:themeFill="text2" w:themeFillTint="33"/>
            <w:hideMark/>
          </w:tcPr>
          <w:p w14:paraId="603B3C80" w14:textId="77777777" w:rsidR="00187DDA" w:rsidRPr="00187DDA" w:rsidRDefault="00187DDA" w:rsidP="00753E15">
            <w:pPr>
              <w:spacing w:after="0" w:line="240" w:lineRule="auto"/>
              <w:jc w:val="center"/>
              <w:rPr>
                <w:rFonts w:ascii="Verdana" w:hAnsi="Verdana"/>
                <w:b/>
                <w:color w:val="000000" w:themeColor="text1"/>
                <w:sz w:val="20"/>
                <w:szCs w:val="20"/>
              </w:rPr>
            </w:pPr>
            <w:r w:rsidRPr="00187DDA">
              <w:rPr>
                <w:rFonts w:ascii="Verdana" w:hAnsi="Verdana"/>
                <w:b/>
                <w:color w:val="000000" w:themeColor="text1"/>
                <w:sz w:val="20"/>
                <w:szCs w:val="20"/>
              </w:rPr>
              <w:t>#</w:t>
            </w:r>
          </w:p>
        </w:tc>
        <w:tc>
          <w:tcPr>
            <w:tcW w:w="5244"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5B8CF455" w14:textId="77777777" w:rsidR="00187DDA" w:rsidRPr="00187DDA" w:rsidRDefault="00187DDA" w:rsidP="00753E15">
            <w:pPr>
              <w:spacing w:after="0" w:line="240" w:lineRule="auto"/>
              <w:jc w:val="center"/>
              <w:rPr>
                <w:rFonts w:ascii="Verdana" w:hAnsi="Verdana"/>
                <w:b/>
                <w:color w:val="000000" w:themeColor="text1"/>
                <w:sz w:val="20"/>
                <w:szCs w:val="20"/>
              </w:rPr>
            </w:pPr>
            <w:r w:rsidRPr="00187DDA">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4986480E" w14:textId="77777777" w:rsidR="00187DDA" w:rsidRPr="00187DDA" w:rsidRDefault="00187DDA" w:rsidP="00753E15">
            <w:pPr>
              <w:spacing w:after="0" w:line="240" w:lineRule="auto"/>
              <w:rPr>
                <w:rFonts w:ascii="Verdana" w:hAnsi="Verdana"/>
                <w:b/>
                <w:color w:val="000000" w:themeColor="text1"/>
                <w:sz w:val="20"/>
                <w:szCs w:val="20"/>
              </w:rPr>
            </w:pPr>
            <w:r w:rsidRPr="00187DDA">
              <w:rPr>
                <w:rFonts w:ascii="Verdana" w:hAnsi="Verdana"/>
                <w:b/>
                <w:color w:val="000000" w:themeColor="text1"/>
                <w:sz w:val="20"/>
                <w:szCs w:val="20"/>
              </w:rPr>
              <w:t>Qty</w:t>
            </w:r>
          </w:p>
        </w:tc>
        <w:tc>
          <w:tcPr>
            <w:tcW w:w="1560" w:type="dxa"/>
            <w:tcBorders>
              <w:top w:val="single" w:sz="8" w:space="0" w:color="000000"/>
              <w:left w:val="single" w:sz="4" w:space="0" w:color="000000"/>
              <w:bottom w:val="single" w:sz="4" w:space="0" w:color="000000"/>
              <w:right w:val="nil"/>
            </w:tcBorders>
            <w:shd w:val="clear" w:color="auto" w:fill="C6D9F1" w:themeFill="text2" w:themeFillTint="33"/>
            <w:hideMark/>
          </w:tcPr>
          <w:p w14:paraId="3F871F7F" w14:textId="54D01FDD" w:rsidR="00187DDA" w:rsidRPr="00187DDA" w:rsidRDefault="00B9675F" w:rsidP="00753E15">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Type</w:t>
            </w:r>
          </w:p>
        </w:tc>
        <w:tc>
          <w:tcPr>
            <w:tcW w:w="1559" w:type="dxa"/>
            <w:tcBorders>
              <w:top w:val="single" w:sz="8" w:space="0" w:color="000000"/>
              <w:left w:val="single" w:sz="4" w:space="0" w:color="000000"/>
              <w:bottom w:val="single" w:sz="4" w:space="0" w:color="000000"/>
              <w:right w:val="nil"/>
            </w:tcBorders>
            <w:shd w:val="clear" w:color="auto" w:fill="C6D9F1" w:themeFill="text2" w:themeFillTint="33"/>
            <w:hideMark/>
          </w:tcPr>
          <w:p w14:paraId="3DD01FE2" w14:textId="34823ADD" w:rsidR="00187DDA" w:rsidRPr="00187DDA" w:rsidRDefault="00B9675F" w:rsidP="00753E15">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End user</w:t>
            </w:r>
          </w:p>
        </w:tc>
      </w:tr>
      <w:tr w:rsidR="00187DDA" w:rsidRPr="00187DDA" w14:paraId="44E34483" w14:textId="77777777" w:rsidTr="00835597">
        <w:tc>
          <w:tcPr>
            <w:tcW w:w="567" w:type="dxa"/>
            <w:tcBorders>
              <w:top w:val="dotted" w:sz="4" w:space="0" w:color="000000"/>
              <w:left w:val="nil"/>
              <w:bottom w:val="dotted" w:sz="4" w:space="0" w:color="000000"/>
              <w:right w:val="single" w:sz="4" w:space="0" w:color="000000"/>
            </w:tcBorders>
            <w:hideMark/>
          </w:tcPr>
          <w:p w14:paraId="37600699" w14:textId="77777777" w:rsidR="00187DDA" w:rsidRPr="00187DDA" w:rsidRDefault="00187DDA" w:rsidP="00753E15">
            <w:pPr>
              <w:spacing w:after="0" w:line="240" w:lineRule="auto"/>
              <w:rPr>
                <w:rFonts w:ascii="Verdana" w:hAnsi="Verdana"/>
                <w:sz w:val="20"/>
                <w:szCs w:val="20"/>
              </w:rPr>
            </w:pPr>
            <w:r w:rsidRPr="00187DDA">
              <w:rPr>
                <w:rFonts w:ascii="Verdana" w:hAnsi="Verdana"/>
                <w:sz w:val="20"/>
                <w:szCs w:val="20"/>
              </w:rPr>
              <w:t>1</w:t>
            </w:r>
          </w:p>
        </w:tc>
        <w:tc>
          <w:tcPr>
            <w:tcW w:w="5244" w:type="dxa"/>
            <w:tcBorders>
              <w:top w:val="dotted" w:sz="4" w:space="0" w:color="000000"/>
              <w:left w:val="single" w:sz="4" w:space="0" w:color="000000"/>
              <w:bottom w:val="dotted" w:sz="4" w:space="0" w:color="000000"/>
              <w:right w:val="single" w:sz="4" w:space="0" w:color="000000"/>
            </w:tcBorders>
            <w:hideMark/>
          </w:tcPr>
          <w:p w14:paraId="79E9F6C4" w14:textId="65D8C93A" w:rsidR="00187DDA" w:rsidRPr="00187DDA" w:rsidRDefault="00835597" w:rsidP="00753E15">
            <w:pPr>
              <w:spacing w:after="0" w:line="240" w:lineRule="auto"/>
              <w:rPr>
                <w:rFonts w:ascii="Verdana" w:hAnsi="Verdana"/>
                <w:sz w:val="20"/>
                <w:szCs w:val="20"/>
              </w:rPr>
            </w:pPr>
            <w:r w:rsidRPr="00187DDA">
              <w:rPr>
                <w:rFonts w:ascii="Verdana" w:hAnsi="Verdana"/>
                <w:sz w:val="20"/>
                <w:szCs w:val="20"/>
              </w:rPr>
              <w:t>1</w:t>
            </w:r>
            <w:r>
              <w:rPr>
                <w:rFonts w:ascii="Verdana" w:hAnsi="Verdana"/>
                <w:sz w:val="20"/>
                <w:szCs w:val="20"/>
              </w:rPr>
              <w:t>-</w:t>
            </w:r>
            <w:r w:rsidRPr="00187DDA">
              <w:rPr>
                <w:rFonts w:ascii="Verdana" w:hAnsi="Verdana"/>
                <w:sz w:val="20"/>
                <w:szCs w:val="20"/>
              </w:rPr>
              <w:t xml:space="preserve">Year Unified Threat Protection </w:t>
            </w:r>
            <w:r>
              <w:rPr>
                <w:rStyle w:val="FootnoteReference"/>
                <w:rFonts w:ascii="Verdana" w:hAnsi="Verdana"/>
                <w:sz w:val="20"/>
                <w:szCs w:val="20"/>
              </w:rPr>
              <w:footnoteReference w:id="1"/>
            </w:r>
            <w:r>
              <w:rPr>
                <w:rFonts w:ascii="Verdana" w:hAnsi="Verdana"/>
                <w:sz w:val="20"/>
                <w:szCs w:val="20"/>
              </w:rPr>
              <w:t xml:space="preserve"> </w:t>
            </w:r>
            <w:r w:rsidR="00187DDA" w:rsidRPr="00187DDA">
              <w:rPr>
                <w:rFonts w:ascii="Verdana" w:hAnsi="Verdana"/>
                <w:sz w:val="20"/>
                <w:szCs w:val="20"/>
              </w:rPr>
              <w:t xml:space="preserve">FortiGate-200E (UTP) (IPS, Advanced Malware Protection, Application Control, URL, DNS &amp; Video Filtering, Antispam Service, and </w:t>
            </w:r>
            <w:proofErr w:type="spellStart"/>
            <w:r w:rsidR="00187DDA" w:rsidRPr="00187DDA">
              <w:rPr>
                <w:rFonts w:ascii="Verdana" w:hAnsi="Verdana"/>
                <w:sz w:val="20"/>
                <w:szCs w:val="20"/>
              </w:rPr>
              <w:t>FortiCare</w:t>
            </w:r>
            <w:proofErr w:type="spellEnd"/>
            <w:r w:rsidR="00187DDA" w:rsidRPr="00187DDA">
              <w:rPr>
                <w:rFonts w:ascii="Verdana" w:hAnsi="Verdana"/>
                <w:sz w:val="20"/>
                <w:szCs w:val="20"/>
              </w:rPr>
              <w:t xml:space="preserve"> Premium)</w:t>
            </w:r>
          </w:p>
        </w:tc>
        <w:tc>
          <w:tcPr>
            <w:tcW w:w="709" w:type="dxa"/>
            <w:tcBorders>
              <w:top w:val="dotted" w:sz="4" w:space="0" w:color="000000"/>
              <w:left w:val="single" w:sz="4" w:space="0" w:color="000000"/>
              <w:bottom w:val="dotted" w:sz="4" w:space="0" w:color="000000"/>
              <w:right w:val="nil"/>
            </w:tcBorders>
            <w:hideMark/>
          </w:tcPr>
          <w:p w14:paraId="1FACBF95" w14:textId="77777777" w:rsidR="00187DDA" w:rsidRPr="00187DDA" w:rsidRDefault="00187DDA" w:rsidP="00753E15">
            <w:pPr>
              <w:spacing w:after="0" w:line="240" w:lineRule="auto"/>
              <w:jc w:val="center"/>
              <w:rPr>
                <w:rFonts w:ascii="Verdana" w:hAnsi="Verdana"/>
                <w:sz w:val="20"/>
                <w:szCs w:val="20"/>
              </w:rPr>
            </w:pPr>
            <w:r w:rsidRPr="00187DDA">
              <w:rPr>
                <w:rFonts w:ascii="Verdana" w:hAnsi="Verdana"/>
                <w:sz w:val="20"/>
                <w:szCs w:val="20"/>
              </w:rPr>
              <w:t>2</w:t>
            </w:r>
          </w:p>
        </w:tc>
        <w:tc>
          <w:tcPr>
            <w:tcW w:w="1560" w:type="dxa"/>
            <w:tcBorders>
              <w:top w:val="dotted" w:sz="4" w:space="0" w:color="000000"/>
              <w:left w:val="single" w:sz="4" w:space="0" w:color="000000"/>
              <w:bottom w:val="dotted" w:sz="4" w:space="0" w:color="000000"/>
              <w:right w:val="nil"/>
            </w:tcBorders>
            <w:shd w:val="clear" w:color="auto" w:fill="auto"/>
            <w:hideMark/>
          </w:tcPr>
          <w:p w14:paraId="413E6CB4" w14:textId="0E2810E4" w:rsidR="00187DDA" w:rsidRPr="00187DDA" w:rsidRDefault="00B05289"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hideMark/>
          </w:tcPr>
          <w:p w14:paraId="12DD0A5D" w14:textId="0FA1FEF1" w:rsidR="00187DDA"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1F4ABA3F" w14:textId="77777777" w:rsidTr="00835597">
        <w:tc>
          <w:tcPr>
            <w:tcW w:w="567" w:type="dxa"/>
            <w:tcBorders>
              <w:top w:val="dotted" w:sz="4" w:space="0" w:color="000000"/>
              <w:left w:val="nil"/>
              <w:bottom w:val="dotted" w:sz="4" w:space="0" w:color="000000"/>
              <w:right w:val="single" w:sz="4" w:space="0" w:color="000000"/>
            </w:tcBorders>
          </w:tcPr>
          <w:p w14:paraId="5DC82E4E"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2</w:t>
            </w:r>
          </w:p>
        </w:tc>
        <w:tc>
          <w:tcPr>
            <w:tcW w:w="5244" w:type="dxa"/>
            <w:tcBorders>
              <w:top w:val="dotted" w:sz="4" w:space="0" w:color="000000"/>
              <w:left w:val="single" w:sz="4" w:space="0" w:color="000000"/>
              <w:bottom w:val="dotted" w:sz="4" w:space="0" w:color="000000"/>
              <w:right w:val="single" w:sz="4" w:space="0" w:color="000000"/>
            </w:tcBorders>
          </w:tcPr>
          <w:p w14:paraId="63A54292" w14:textId="766B1A15" w:rsidR="00B9675F" w:rsidRPr="00187DDA" w:rsidRDefault="00835597" w:rsidP="00753E15">
            <w:pPr>
              <w:spacing w:after="0" w:line="240" w:lineRule="auto"/>
              <w:rPr>
                <w:rFonts w:ascii="Verdana" w:hAnsi="Verdana"/>
                <w:sz w:val="20"/>
                <w:szCs w:val="20"/>
              </w:rPr>
            </w:pPr>
            <w:r w:rsidRPr="00187DDA">
              <w:rPr>
                <w:rFonts w:ascii="Verdana" w:hAnsi="Verdana"/>
                <w:sz w:val="20"/>
                <w:szCs w:val="20"/>
              </w:rPr>
              <w:t>1</w:t>
            </w:r>
            <w:r>
              <w:rPr>
                <w:rFonts w:ascii="Verdana" w:hAnsi="Verdana"/>
                <w:sz w:val="20"/>
                <w:szCs w:val="20"/>
              </w:rPr>
              <w:t>-</w:t>
            </w:r>
            <w:r w:rsidRPr="00187DDA">
              <w:rPr>
                <w:rFonts w:ascii="Verdana" w:hAnsi="Verdana"/>
                <w:sz w:val="20"/>
                <w:szCs w:val="20"/>
              </w:rPr>
              <w:t xml:space="preserve">Year Unified Threat Protection </w:t>
            </w:r>
            <w:r w:rsidR="00B9675F" w:rsidRPr="00187DDA">
              <w:rPr>
                <w:rFonts w:ascii="Verdana" w:hAnsi="Verdana"/>
                <w:sz w:val="20"/>
                <w:szCs w:val="20"/>
              </w:rPr>
              <w:t xml:space="preserve">FortiGate-100F (UTP) (IPS, Advanced Malware Protection, Application Control, URL, DNS &amp; Video Filtering, Antispam Service, and </w:t>
            </w:r>
            <w:proofErr w:type="spellStart"/>
            <w:r w:rsidR="00B9675F" w:rsidRPr="00187DDA">
              <w:rPr>
                <w:rFonts w:ascii="Verdana" w:hAnsi="Verdana"/>
                <w:sz w:val="20"/>
                <w:szCs w:val="20"/>
              </w:rPr>
              <w:t>FortiCare</w:t>
            </w:r>
            <w:proofErr w:type="spellEnd"/>
            <w:r w:rsidR="00B9675F" w:rsidRPr="00187DDA">
              <w:rPr>
                <w:rFonts w:ascii="Verdana" w:hAnsi="Verdana"/>
                <w:sz w:val="20"/>
                <w:szCs w:val="20"/>
              </w:rPr>
              <w:t xml:space="preserve"> Premium)</w:t>
            </w:r>
          </w:p>
        </w:tc>
        <w:tc>
          <w:tcPr>
            <w:tcW w:w="709" w:type="dxa"/>
            <w:tcBorders>
              <w:top w:val="dotted" w:sz="4" w:space="0" w:color="000000"/>
              <w:left w:val="single" w:sz="4" w:space="0" w:color="000000"/>
              <w:bottom w:val="dotted" w:sz="4" w:space="0" w:color="000000"/>
              <w:right w:val="nil"/>
            </w:tcBorders>
          </w:tcPr>
          <w:p w14:paraId="55F7CBE1"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1E5565B6" w14:textId="67A3FB68" w:rsidR="00B9675F" w:rsidRPr="00187DDA" w:rsidRDefault="00B05289"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4D2BAAF8" w14:textId="0CE46078"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4378747D" w14:textId="77777777" w:rsidTr="00835597">
        <w:tc>
          <w:tcPr>
            <w:tcW w:w="567" w:type="dxa"/>
            <w:tcBorders>
              <w:top w:val="dotted" w:sz="4" w:space="0" w:color="000000"/>
              <w:left w:val="nil"/>
              <w:bottom w:val="dotted" w:sz="4" w:space="0" w:color="000000"/>
              <w:right w:val="single" w:sz="4" w:space="0" w:color="000000"/>
            </w:tcBorders>
          </w:tcPr>
          <w:p w14:paraId="10D7C7AD"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lastRenderedPageBreak/>
              <w:t>3</w:t>
            </w:r>
          </w:p>
        </w:tc>
        <w:tc>
          <w:tcPr>
            <w:tcW w:w="5244" w:type="dxa"/>
            <w:tcBorders>
              <w:top w:val="dotted" w:sz="4" w:space="0" w:color="000000"/>
              <w:left w:val="single" w:sz="4" w:space="0" w:color="000000"/>
              <w:bottom w:val="dotted" w:sz="4" w:space="0" w:color="000000"/>
              <w:right w:val="single" w:sz="4" w:space="0" w:color="000000"/>
            </w:tcBorders>
          </w:tcPr>
          <w:p w14:paraId="4113E195" w14:textId="790F531F"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 xml:space="preserve">Fortinet FortiGate 120G Firewall FG-120G </w:t>
            </w:r>
            <w:r w:rsidR="0032459F">
              <w:rPr>
                <w:rStyle w:val="FootnoteReference"/>
                <w:rFonts w:ascii="Verdana" w:hAnsi="Verdana"/>
                <w:sz w:val="20"/>
                <w:szCs w:val="20"/>
              </w:rPr>
              <w:footnoteReference w:id="2"/>
            </w:r>
            <w:r w:rsidRPr="00187DDA">
              <w:rPr>
                <w:rFonts w:ascii="Verdana" w:hAnsi="Verdana"/>
                <w:sz w:val="20"/>
                <w:szCs w:val="20"/>
              </w:rPr>
              <w:t>18 x GE RJ45 ports (including 1 x MGMT port, 1 X HA port, 16 x switch ports), 8 x GE SFP slots, 4 x 10GE SFP+ slots, SP5 hardware accelerated, dual AC power supplies</w:t>
            </w:r>
          </w:p>
        </w:tc>
        <w:tc>
          <w:tcPr>
            <w:tcW w:w="709" w:type="dxa"/>
            <w:tcBorders>
              <w:top w:val="dotted" w:sz="4" w:space="0" w:color="000000"/>
              <w:left w:val="single" w:sz="4" w:space="0" w:color="000000"/>
              <w:bottom w:val="dotted" w:sz="4" w:space="0" w:color="000000"/>
              <w:right w:val="nil"/>
            </w:tcBorders>
          </w:tcPr>
          <w:p w14:paraId="32C1F1A3"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555FD241" w14:textId="0F620841" w:rsidR="00B9675F" w:rsidRPr="00187DDA" w:rsidRDefault="00B9675F" w:rsidP="00753E15">
            <w:pPr>
              <w:spacing w:after="0" w:line="240" w:lineRule="auto"/>
              <w:rPr>
                <w:rFonts w:ascii="Verdana" w:hAnsi="Verdana"/>
                <w:iCs/>
                <w:sz w:val="18"/>
                <w:szCs w:val="18"/>
              </w:rPr>
            </w:pPr>
            <w:r>
              <w:rPr>
                <w:rFonts w:ascii="Verdana" w:hAnsi="Verdana"/>
                <w:iCs/>
                <w:sz w:val="18"/>
                <w:szCs w:val="18"/>
              </w:rPr>
              <w:t>hardware</w:t>
            </w:r>
          </w:p>
        </w:tc>
        <w:tc>
          <w:tcPr>
            <w:tcW w:w="1559" w:type="dxa"/>
            <w:tcBorders>
              <w:top w:val="dotted" w:sz="4" w:space="0" w:color="000000"/>
              <w:left w:val="single" w:sz="4" w:space="0" w:color="000000"/>
              <w:bottom w:val="dotted" w:sz="4" w:space="0" w:color="000000"/>
              <w:right w:val="nil"/>
            </w:tcBorders>
            <w:shd w:val="clear" w:color="auto" w:fill="auto"/>
          </w:tcPr>
          <w:p w14:paraId="5811F1DC" w14:textId="784CF9D9"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Appeal Chamber</w:t>
            </w:r>
          </w:p>
        </w:tc>
      </w:tr>
      <w:tr w:rsidR="00B05289" w:rsidRPr="00187DDA" w14:paraId="1FAFB649" w14:textId="77777777" w:rsidTr="00835597">
        <w:tc>
          <w:tcPr>
            <w:tcW w:w="567" w:type="dxa"/>
            <w:tcBorders>
              <w:top w:val="dotted" w:sz="4" w:space="0" w:color="000000"/>
              <w:left w:val="nil"/>
              <w:bottom w:val="dotted" w:sz="4" w:space="0" w:color="000000"/>
              <w:right w:val="single" w:sz="4" w:space="0" w:color="000000"/>
            </w:tcBorders>
          </w:tcPr>
          <w:p w14:paraId="7F19CB01" w14:textId="77777777" w:rsidR="00B05289" w:rsidRPr="00187DDA" w:rsidRDefault="00B05289" w:rsidP="00753E15">
            <w:pPr>
              <w:spacing w:after="0" w:line="240" w:lineRule="auto"/>
              <w:rPr>
                <w:rFonts w:ascii="Verdana" w:hAnsi="Verdana"/>
                <w:sz w:val="20"/>
                <w:szCs w:val="20"/>
              </w:rPr>
            </w:pPr>
            <w:r w:rsidRPr="00187DDA">
              <w:rPr>
                <w:rFonts w:ascii="Verdana" w:hAnsi="Verdana"/>
                <w:sz w:val="20"/>
                <w:szCs w:val="20"/>
              </w:rPr>
              <w:t>4</w:t>
            </w:r>
          </w:p>
        </w:tc>
        <w:tc>
          <w:tcPr>
            <w:tcW w:w="5244" w:type="dxa"/>
            <w:tcBorders>
              <w:top w:val="dotted" w:sz="4" w:space="0" w:color="000000"/>
              <w:left w:val="single" w:sz="4" w:space="0" w:color="000000"/>
              <w:bottom w:val="dotted" w:sz="4" w:space="0" w:color="000000"/>
              <w:right w:val="single" w:sz="4" w:space="0" w:color="000000"/>
            </w:tcBorders>
          </w:tcPr>
          <w:p w14:paraId="1B8DDF46" w14:textId="000796C0" w:rsidR="00B05289" w:rsidRPr="00187DDA" w:rsidRDefault="00835597" w:rsidP="00753E15">
            <w:pPr>
              <w:spacing w:after="0" w:line="240" w:lineRule="auto"/>
              <w:rPr>
                <w:rFonts w:ascii="Verdana" w:hAnsi="Verdana"/>
                <w:sz w:val="20"/>
                <w:szCs w:val="20"/>
              </w:rPr>
            </w:pPr>
            <w:r w:rsidRPr="00187DDA">
              <w:rPr>
                <w:rFonts w:ascii="Verdana" w:hAnsi="Verdana"/>
                <w:sz w:val="20"/>
                <w:szCs w:val="20"/>
              </w:rPr>
              <w:t>1</w:t>
            </w:r>
            <w:r>
              <w:rPr>
                <w:rFonts w:ascii="Verdana" w:hAnsi="Verdana"/>
                <w:sz w:val="20"/>
                <w:szCs w:val="20"/>
              </w:rPr>
              <w:t>-</w:t>
            </w:r>
            <w:r w:rsidRPr="00187DDA">
              <w:rPr>
                <w:rFonts w:ascii="Verdana" w:hAnsi="Verdana"/>
                <w:sz w:val="20"/>
                <w:szCs w:val="20"/>
              </w:rPr>
              <w:t xml:space="preserve">Year Unified Threat Protection </w:t>
            </w:r>
            <w:r w:rsidR="00B05289" w:rsidRPr="00187DDA">
              <w:rPr>
                <w:rFonts w:ascii="Verdana" w:hAnsi="Verdana"/>
                <w:sz w:val="20"/>
                <w:szCs w:val="20"/>
              </w:rPr>
              <w:t xml:space="preserve">FortiGate-120G (UTP) (IPS, Advanced Malware Protection, Application Control, URL, DNS &amp; Video Filtering, Antispam Service, and </w:t>
            </w:r>
            <w:proofErr w:type="spellStart"/>
            <w:r w:rsidR="00B05289" w:rsidRPr="00187DDA">
              <w:rPr>
                <w:rFonts w:ascii="Verdana" w:hAnsi="Verdana"/>
                <w:sz w:val="20"/>
                <w:szCs w:val="20"/>
              </w:rPr>
              <w:t>FortiCare</w:t>
            </w:r>
            <w:proofErr w:type="spellEnd"/>
            <w:r w:rsidR="00B05289" w:rsidRPr="00187DDA">
              <w:rPr>
                <w:rFonts w:ascii="Verdana" w:hAnsi="Verdana"/>
                <w:sz w:val="20"/>
                <w:szCs w:val="20"/>
              </w:rPr>
              <w:t xml:space="preserve"> Premium)</w:t>
            </w:r>
          </w:p>
        </w:tc>
        <w:tc>
          <w:tcPr>
            <w:tcW w:w="709" w:type="dxa"/>
            <w:tcBorders>
              <w:top w:val="dotted" w:sz="4" w:space="0" w:color="000000"/>
              <w:left w:val="single" w:sz="4" w:space="0" w:color="000000"/>
              <w:bottom w:val="dotted" w:sz="4" w:space="0" w:color="000000"/>
              <w:right w:val="nil"/>
            </w:tcBorders>
          </w:tcPr>
          <w:p w14:paraId="2CBB484A" w14:textId="77777777" w:rsidR="00B05289" w:rsidRPr="00187DDA" w:rsidRDefault="00B05289"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27D0F9C7" w14:textId="37C3F810" w:rsidR="00B05289" w:rsidRPr="00187DDA" w:rsidRDefault="00B05289"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170B184B" w14:textId="747F663A" w:rsidR="00B05289" w:rsidRPr="00187DDA" w:rsidRDefault="00B05289"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Appeal Chamber</w:t>
            </w:r>
          </w:p>
        </w:tc>
      </w:tr>
      <w:tr w:rsidR="00B9675F" w:rsidRPr="00187DDA" w14:paraId="16D9AE46" w14:textId="77777777" w:rsidTr="00835597">
        <w:tc>
          <w:tcPr>
            <w:tcW w:w="567" w:type="dxa"/>
            <w:tcBorders>
              <w:top w:val="dotted" w:sz="4" w:space="0" w:color="000000"/>
              <w:left w:val="nil"/>
              <w:bottom w:val="dotted" w:sz="4" w:space="0" w:color="000000"/>
              <w:right w:val="single" w:sz="4" w:space="0" w:color="000000"/>
            </w:tcBorders>
          </w:tcPr>
          <w:p w14:paraId="32F0DB79"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5</w:t>
            </w:r>
          </w:p>
        </w:tc>
        <w:tc>
          <w:tcPr>
            <w:tcW w:w="5244" w:type="dxa"/>
            <w:tcBorders>
              <w:top w:val="dotted" w:sz="4" w:space="0" w:color="000000"/>
              <w:left w:val="single" w:sz="4" w:space="0" w:color="000000"/>
              <w:bottom w:val="dotted" w:sz="4" w:space="0" w:color="000000"/>
              <w:right w:val="single" w:sz="4" w:space="0" w:color="000000"/>
            </w:tcBorders>
          </w:tcPr>
          <w:p w14:paraId="5D207956" w14:textId="67D1F994"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w:t>
            </w:r>
            <w:r w:rsidR="0032459F">
              <w:rPr>
                <w:rStyle w:val="FootnoteReference"/>
                <w:rFonts w:ascii="Verdana" w:hAnsi="Verdana"/>
                <w:sz w:val="20"/>
                <w:szCs w:val="20"/>
              </w:rPr>
              <w:footnoteReference w:id="3"/>
            </w:r>
            <w:r w:rsidRPr="00187DDA">
              <w:rPr>
                <w:rFonts w:ascii="Verdana" w:hAnsi="Verdana"/>
                <w:sz w:val="20"/>
                <w:szCs w:val="20"/>
              </w:rPr>
              <w:t>. (40 objects, 1 - year, renewal)</w:t>
            </w:r>
          </w:p>
        </w:tc>
        <w:tc>
          <w:tcPr>
            <w:tcW w:w="709" w:type="dxa"/>
            <w:tcBorders>
              <w:top w:val="dotted" w:sz="4" w:space="0" w:color="000000"/>
              <w:left w:val="single" w:sz="4" w:space="0" w:color="000000"/>
              <w:bottom w:val="dotted" w:sz="4" w:space="0" w:color="000000"/>
              <w:right w:val="nil"/>
            </w:tcBorders>
          </w:tcPr>
          <w:p w14:paraId="41DBC3EA"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26F7C286" w14:textId="074080AA"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09EE5258" w14:textId="2967E220"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021FDA15" w14:textId="77777777" w:rsidTr="00835597">
        <w:tc>
          <w:tcPr>
            <w:tcW w:w="567" w:type="dxa"/>
            <w:tcBorders>
              <w:top w:val="dotted" w:sz="4" w:space="0" w:color="000000"/>
              <w:left w:val="nil"/>
              <w:bottom w:val="dotted" w:sz="4" w:space="0" w:color="000000"/>
              <w:right w:val="single" w:sz="4" w:space="0" w:color="000000"/>
            </w:tcBorders>
          </w:tcPr>
          <w:p w14:paraId="37FF5EAA"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6</w:t>
            </w:r>
          </w:p>
        </w:tc>
        <w:tc>
          <w:tcPr>
            <w:tcW w:w="5244" w:type="dxa"/>
            <w:tcBorders>
              <w:top w:val="dotted" w:sz="4" w:space="0" w:color="000000"/>
              <w:left w:val="single" w:sz="4" w:space="0" w:color="000000"/>
              <w:bottom w:val="dotted" w:sz="4" w:space="0" w:color="000000"/>
              <w:right w:val="single" w:sz="4" w:space="0" w:color="000000"/>
            </w:tcBorders>
          </w:tcPr>
          <w:p w14:paraId="5ADF722D"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 (20 objects, 1 - year, renewal)</w:t>
            </w:r>
          </w:p>
        </w:tc>
        <w:tc>
          <w:tcPr>
            <w:tcW w:w="709" w:type="dxa"/>
            <w:tcBorders>
              <w:top w:val="dotted" w:sz="4" w:space="0" w:color="000000"/>
              <w:left w:val="single" w:sz="4" w:space="0" w:color="000000"/>
              <w:bottom w:val="dotted" w:sz="4" w:space="0" w:color="000000"/>
              <w:right w:val="nil"/>
            </w:tcBorders>
          </w:tcPr>
          <w:p w14:paraId="492C210F"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3CFD07D4" w14:textId="034D5875"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52221F84" w14:textId="4353C3B7"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2039283C" w14:textId="77777777" w:rsidTr="00835597">
        <w:tc>
          <w:tcPr>
            <w:tcW w:w="567" w:type="dxa"/>
            <w:tcBorders>
              <w:top w:val="dotted" w:sz="4" w:space="0" w:color="000000"/>
              <w:left w:val="nil"/>
              <w:bottom w:val="dotted" w:sz="4" w:space="0" w:color="000000"/>
              <w:right w:val="single" w:sz="4" w:space="0" w:color="000000"/>
            </w:tcBorders>
          </w:tcPr>
          <w:p w14:paraId="1AFE03EA"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7</w:t>
            </w:r>
          </w:p>
        </w:tc>
        <w:tc>
          <w:tcPr>
            <w:tcW w:w="5244" w:type="dxa"/>
            <w:tcBorders>
              <w:top w:val="dotted" w:sz="4" w:space="0" w:color="000000"/>
              <w:left w:val="single" w:sz="4" w:space="0" w:color="000000"/>
              <w:bottom w:val="dotted" w:sz="4" w:space="0" w:color="000000"/>
              <w:right w:val="single" w:sz="4" w:space="0" w:color="000000"/>
            </w:tcBorders>
          </w:tcPr>
          <w:p w14:paraId="1DE8E8E7"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 (180 objects, 1 - year, renewal)</w:t>
            </w:r>
          </w:p>
        </w:tc>
        <w:tc>
          <w:tcPr>
            <w:tcW w:w="709" w:type="dxa"/>
            <w:tcBorders>
              <w:top w:val="dotted" w:sz="4" w:space="0" w:color="000000"/>
              <w:left w:val="single" w:sz="4" w:space="0" w:color="000000"/>
              <w:bottom w:val="dotted" w:sz="4" w:space="0" w:color="000000"/>
              <w:right w:val="nil"/>
            </w:tcBorders>
          </w:tcPr>
          <w:p w14:paraId="0B3B9593"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07E5EFF6" w14:textId="2995F944"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1B3375C1" w14:textId="50C72706"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089976C0" w14:textId="77777777" w:rsidTr="00835597">
        <w:tc>
          <w:tcPr>
            <w:tcW w:w="567" w:type="dxa"/>
            <w:tcBorders>
              <w:top w:val="dotted" w:sz="4" w:space="0" w:color="000000"/>
              <w:left w:val="nil"/>
              <w:bottom w:val="dotted" w:sz="4" w:space="0" w:color="000000"/>
              <w:right w:val="single" w:sz="4" w:space="0" w:color="000000"/>
            </w:tcBorders>
          </w:tcPr>
          <w:p w14:paraId="4BC94556"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8</w:t>
            </w:r>
          </w:p>
        </w:tc>
        <w:tc>
          <w:tcPr>
            <w:tcW w:w="5244" w:type="dxa"/>
            <w:tcBorders>
              <w:top w:val="dotted" w:sz="4" w:space="0" w:color="000000"/>
              <w:left w:val="single" w:sz="4" w:space="0" w:color="000000"/>
              <w:bottom w:val="dotted" w:sz="4" w:space="0" w:color="000000"/>
              <w:right w:val="single" w:sz="4" w:space="0" w:color="000000"/>
            </w:tcBorders>
          </w:tcPr>
          <w:p w14:paraId="0375CF49"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 (40 objects, 1 - year, renewal)</w:t>
            </w:r>
          </w:p>
        </w:tc>
        <w:tc>
          <w:tcPr>
            <w:tcW w:w="709" w:type="dxa"/>
            <w:tcBorders>
              <w:top w:val="dotted" w:sz="4" w:space="0" w:color="000000"/>
              <w:left w:val="single" w:sz="4" w:space="0" w:color="000000"/>
              <w:bottom w:val="dotted" w:sz="4" w:space="0" w:color="000000"/>
              <w:right w:val="nil"/>
            </w:tcBorders>
          </w:tcPr>
          <w:p w14:paraId="599DCB3B"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158A7A9E" w14:textId="0278415B"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7C8EAD40" w14:textId="6221ED2D"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74178FE3" w14:textId="77777777" w:rsidTr="00835597">
        <w:tc>
          <w:tcPr>
            <w:tcW w:w="567" w:type="dxa"/>
            <w:tcBorders>
              <w:top w:val="dotted" w:sz="4" w:space="0" w:color="000000"/>
              <w:left w:val="nil"/>
              <w:bottom w:val="dotted" w:sz="4" w:space="0" w:color="000000"/>
              <w:right w:val="single" w:sz="4" w:space="0" w:color="000000"/>
            </w:tcBorders>
          </w:tcPr>
          <w:p w14:paraId="026D5907"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9</w:t>
            </w:r>
          </w:p>
        </w:tc>
        <w:tc>
          <w:tcPr>
            <w:tcW w:w="5244" w:type="dxa"/>
            <w:tcBorders>
              <w:top w:val="dotted" w:sz="4" w:space="0" w:color="000000"/>
              <w:left w:val="single" w:sz="4" w:space="0" w:color="000000"/>
              <w:bottom w:val="dotted" w:sz="4" w:space="0" w:color="000000"/>
              <w:right w:val="single" w:sz="4" w:space="0" w:color="000000"/>
            </w:tcBorders>
          </w:tcPr>
          <w:p w14:paraId="37FD1AA4"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 (80 objects, 1 - year)</w:t>
            </w:r>
          </w:p>
        </w:tc>
        <w:tc>
          <w:tcPr>
            <w:tcW w:w="709" w:type="dxa"/>
            <w:tcBorders>
              <w:top w:val="dotted" w:sz="4" w:space="0" w:color="000000"/>
              <w:left w:val="single" w:sz="4" w:space="0" w:color="000000"/>
              <w:bottom w:val="dotted" w:sz="4" w:space="0" w:color="000000"/>
              <w:right w:val="nil"/>
            </w:tcBorders>
          </w:tcPr>
          <w:p w14:paraId="03F3C8CC"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3A6ADB9A" w14:textId="14519B46"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30778434" w14:textId="4C7BA9B0"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4FCF5048" w14:textId="77777777" w:rsidTr="00835597">
        <w:tc>
          <w:tcPr>
            <w:tcW w:w="567" w:type="dxa"/>
            <w:tcBorders>
              <w:top w:val="dotted" w:sz="4" w:space="0" w:color="000000"/>
              <w:left w:val="nil"/>
              <w:bottom w:val="dotted" w:sz="4" w:space="0" w:color="000000"/>
              <w:right w:val="single" w:sz="4" w:space="0" w:color="000000"/>
            </w:tcBorders>
          </w:tcPr>
          <w:p w14:paraId="46F7DEDE"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10</w:t>
            </w:r>
          </w:p>
        </w:tc>
        <w:tc>
          <w:tcPr>
            <w:tcW w:w="5244" w:type="dxa"/>
            <w:tcBorders>
              <w:top w:val="dotted" w:sz="4" w:space="0" w:color="000000"/>
              <w:left w:val="single" w:sz="4" w:space="0" w:color="000000"/>
              <w:bottom w:val="dotted" w:sz="4" w:space="0" w:color="000000"/>
              <w:right w:val="single" w:sz="4" w:space="0" w:color="000000"/>
            </w:tcBorders>
          </w:tcPr>
          <w:p w14:paraId="2E2DB79A"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 (100 objects, 1 - year, renewal)</w:t>
            </w:r>
          </w:p>
        </w:tc>
        <w:tc>
          <w:tcPr>
            <w:tcW w:w="709" w:type="dxa"/>
            <w:tcBorders>
              <w:top w:val="dotted" w:sz="4" w:space="0" w:color="000000"/>
              <w:left w:val="single" w:sz="4" w:space="0" w:color="000000"/>
              <w:bottom w:val="dotted" w:sz="4" w:space="0" w:color="000000"/>
              <w:right w:val="nil"/>
            </w:tcBorders>
          </w:tcPr>
          <w:p w14:paraId="2AE95754"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54C7F6D3" w14:textId="3DEA05AF"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1654D72B" w14:textId="2C80982D"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Appeal Chamber</w:t>
            </w:r>
          </w:p>
        </w:tc>
      </w:tr>
      <w:tr w:rsidR="00B9675F" w:rsidRPr="00187DDA" w14:paraId="6DA3BC0C" w14:textId="77777777" w:rsidTr="00835597">
        <w:tc>
          <w:tcPr>
            <w:tcW w:w="567" w:type="dxa"/>
            <w:tcBorders>
              <w:top w:val="dotted" w:sz="4" w:space="0" w:color="000000"/>
              <w:left w:val="nil"/>
              <w:bottom w:val="dotted" w:sz="4" w:space="0" w:color="000000"/>
              <w:right w:val="single" w:sz="4" w:space="0" w:color="000000"/>
            </w:tcBorders>
          </w:tcPr>
          <w:p w14:paraId="5F47B4D1" w14:textId="2AE201D2" w:rsidR="00B9675F" w:rsidRPr="00187DDA" w:rsidRDefault="00100DE1" w:rsidP="00753E15">
            <w:pPr>
              <w:spacing w:after="0" w:line="240" w:lineRule="auto"/>
              <w:rPr>
                <w:rFonts w:ascii="Verdana" w:hAnsi="Verdana"/>
                <w:sz w:val="20"/>
                <w:szCs w:val="20"/>
              </w:rPr>
            </w:pPr>
            <w:r>
              <w:rPr>
                <w:rFonts w:ascii="Verdana" w:hAnsi="Verdana"/>
                <w:sz w:val="20"/>
                <w:szCs w:val="20"/>
              </w:rPr>
              <w:t>11</w:t>
            </w:r>
          </w:p>
        </w:tc>
        <w:tc>
          <w:tcPr>
            <w:tcW w:w="5244" w:type="dxa"/>
            <w:tcBorders>
              <w:top w:val="dotted" w:sz="4" w:space="0" w:color="000000"/>
              <w:left w:val="single" w:sz="4" w:space="0" w:color="000000"/>
              <w:bottom w:val="dotted" w:sz="4" w:space="0" w:color="000000"/>
              <w:right w:val="single" w:sz="4" w:space="0" w:color="000000"/>
            </w:tcBorders>
          </w:tcPr>
          <w:p w14:paraId="5CF0ADE2" w14:textId="77777777" w:rsidR="00B9675F" w:rsidRPr="00187DDA" w:rsidRDefault="00B9675F" w:rsidP="00753E15">
            <w:pPr>
              <w:spacing w:after="0" w:line="240" w:lineRule="auto"/>
              <w:rPr>
                <w:rFonts w:ascii="Verdana" w:hAnsi="Verdana"/>
                <w:sz w:val="20"/>
                <w:szCs w:val="20"/>
              </w:rPr>
            </w:pPr>
            <w:r w:rsidRPr="00187DDA">
              <w:rPr>
                <w:rFonts w:ascii="Verdana" w:hAnsi="Verdana"/>
                <w:sz w:val="20"/>
                <w:szCs w:val="20"/>
              </w:rPr>
              <w:t>Software instance ESET PROTECT Entry On-prem. (21 objects, 1 - year)</w:t>
            </w:r>
          </w:p>
        </w:tc>
        <w:tc>
          <w:tcPr>
            <w:tcW w:w="709" w:type="dxa"/>
            <w:tcBorders>
              <w:top w:val="dotted" w:sz="4" w:space="0" w:color="000000"/>
              <w:left w:val="single" w:sz="4" w:space="0" w:color="000000"/>
              <w:bottom w:val="dotted" w:sz="4" w:space="0" w:color="000000"/>
              <w:right w:val="nil"/>
            </w:tcBorders>
          </w:tcPr>
          <w:p w14:paraId="184BAFE4"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2AA769D0" w14:textId="6C6A1A0E"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73931BF0" w14:textId="1234AC00"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Appeal Chamber</w:t>
            </w:r>
          </w:p>
        </w:tc>
      </w:tr>
      <w:tr w:rsidR="00B9675F" w:rsidRPr="00187DDA" w14:paraId="29CE2CF9" w14:textId="77777777" w:rsidTr="00835597">
        <w:tc>
          <w:tcPr>
            <w:tcW w:w="567" w:type="dxa"/>
            <w:tcBorders>
              <w:top w:val="dotted" w:sz="4" w:space="0" w:color="000000"/>
              <w:left w:val="nil"/>
              <w:bottom w:val="dotted" w:sz="4" w:space="0" w:color="000000"/>
              <w:right w:val="single" w:sz="4" w:space="0" w:color="000000"/>
            </w:tcBorders>
          </w:tcPr>
          <w:p w14:paraId="3D720DEC" w14:textId="2BFE0A43" w:rsidR="00B9675F" w:rsidRPr="00187DDA" w:rsidRDefault="00100DE1" w:rsidP="00753E15">
            <w:pPr>
              <w:spacing w:after="0" w:line="240" w:lineRule="auto"/>
              <w:rPr>
                <w:rFonts w:ascii="Verdana" w:hAnsi="Verdana"/>
                <w:sz w:val="20"/>
                <w:szCs w:val="20"/>
              </w:rPr>
            </w:pPr>
            <w:r>
              <w:rPr>
                <w:rFonts w:ascii="Verdana" w:hAnsi="Verdana"/>
                <w:sz w:val="20"/>
                <w:szCs w:val="20"/>
              </w:rPr>
              <w:t>12</w:t>
            </w:r>
          </w:p>
        </w:tc>
        <w:tc>
          <w:tcPr>
            <w:tcW w:w="5244" w:type="dxa"/>
            <w:tcBorders>
              <w:top w:val="dotted" w:sz="4" w:space="0" w:color="000000"/>
              <w:left w:val="single" w:sz="4" w:space="0" w:color="000000"/>
              <w:bottom w:val="dotted" w:sz="4" w:space="0" w:color="000000"/>
              <w:right w:val="single" w:sz="4" w:space="0" w:color="000000"/>
            </w:tcBorders>
          </w:tcPr>
          <w:p w14:paraId="5B8CF06C" w14:textId="5076678B" w:rsidR="00B9675F" w:rsidRPr="00187DDA" w:rsidRDefault="00B9675F" w:rsidP="00753E15">
            <w:pPr>
              <w:spacing w:after="0" w:line="240" w:lineRule="auto"/>
              <w:rPr>
                <w:rFonts w:ascii="Verdana" w:hAnsi="Verdana"/>
                <w:sz w:val="20"/>
                <w:szCs w:val="20"/>
              </w:rPr>
            </w:pPr>
            <w:proofErr w:type="spellStart"/>
            <w:r w:rsidRPr="00187DDA">
              <w:rPr>
                <w:rFonts w:ascii="Verdana" w:hAnsi="Verdana"/>
                <w:sz w:val="20"/>
                <w:szCs w:val="20"/>
                <w:lang w:val="uk-UA"/>
              </w:rPr>
              <w:t>Safetica</w:t>
            </w:r>
            <w:proofErr w:type="spellEnd"/>
            <w:r w:rsidRPr="00187DDA">
              <w:rPr>
                <w:rFonts w:ascii="Verdana" w:hAnsi="Verdana"/>
                <w:sz w:val="20"/>
                <w:szCs w:val="20"/>
                <w:lang w:val="uk-UA"/>
              </w:rPr>
              <w:t xml:space="preserve"> </w:t>
            </w:r>
            <w:proofErr w:type="spellStart"/>
            <w:r w:rsidRPr="00187DDA">
              <w:rPr>
                <w:rFonts w:ascii="Verdana" w:hAnsi="Verdana"/>
                <w:sz w:val="20"/>
                <w:szCs w:val="20"/>
                <w:lang w:val="uk-UA"/>
              </w:rPr>
              <w:t>Enterprise</w:t>
            </w:r>
            <w:proofErr w:type="spellEnd"/>
            <w:r w:rsidRPr="00187DDA">
              <w:rPr>
                <w:rFonts w:ascii="Verdana" w:hAnsi="Verdana"/>
                <w:sz w:val="20"/>
                <w:szCs w:val="20"/>
                <w:lang w:val="uk-UA"/>
              </w:rPr>
              <w:t xml:space="preserve"> + UEBA</w:t>
            </w:r>
            <w:r w:rsidR="0032459F">
              <w:rPr>
                <w:rStyle w:val="FootnoteReference"/>
                <w:rFonts w:ascii="Verdana" w:hAnsi="Verdana"/>
                <w:sz w:val="20"/>
                <w:szCs w:val="20"/>
                <w:lang w:val="uk-UA"/>
              </w:rPr>
              <w:footnoteReference w:id="4"/>
            </w:r>
            <w:r w:rsidR="00085B24">
              <w:rPr>
                <w:rFonts w:ascii="Verdana" w:hAnsi="Verdana"/>
                <w:sz w:val="20"/>
                <w:szCs w:val="20"/>
              </w:rPr>
              <w:t xml:space="preserve"> </w:t>
            </w:r>
            <w:r w:rsidRPr="00187DDA">
              <w:rPr>
                <w:rFonts w:ascii="Verdana" w:hAnsi="Verdana"/>
                <w:sz w:val="20"/>
                <w:szCs w:val="20"/>
                <w:lang w:val="uk-UA"/>
              </w:rPr>
              <w:t xml:space="preserve">250 </w:t>
            </w:r>
            <w:proofErr w:type="spellStart"/>
            <w:r w:rsidRPr="00187DDA">
              <w:rPr>
                <w:rFonts w:ascii="Verdana" w:hAnsi="Verdana"/>
                <w:sz w:val="20"/>
                <w:szCs w:val="20"/>
                <w:lang w:val="uk-UA"/>
              </w:rPr>
              <w:t>obj</w:t>
            </w:r>
            <w:proofErr w:type="spellEnd"/>
            <w:r w:rsidRPr="00187DDA">
              <w:rPr>
                <w:rFonts w:ascii="Verdana" w:hAnsi="Verdana"/>
                <w:sz w:val="20"/>
                <w:szCs w:val="20"/>
                <w:lang w:val="uk-UA"/>
              </w:rPr>
              <w:t>./1 y.</w:t>
            </w:r>
          </w:p>
        </w:tc>
        <w:tc>
          <w:tcPr>
            <w:tcW w:w="709" w:type="dxa"/>
            <w:tcBorders>
              <w:top w:val="dotted" w:sz="4" w:space="0" w:color="000000"/>
              <w:left w:val="single" w:sz="4" w:space="0" w:color="000000"/>
              <w:bottom w:val="dotted" w:sz="4" w:space="0" w:color="000000"/>
              <w:right w:val="nil"/>
            </w:tcBorders>
          </w:tcPr>
          <w:p w14:paraId="48F04955"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453A2383" w14:textId="1078F615"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62712610" w14:textId="092FE7B3"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First Instance</w:t>
            </w:r>
          </w:p>
        </w:tc>
      </w:tr>
      <w:tr w:rsidR="00B9675F" w:rsidRPr="00187DDA" w14:paraId="4FAECE1E" w14:textId="77777777" w:rsidTr="00835597">
        <w:tc>
          <w:tcPr>
            <w:tcW w:w="567" w:type="dxa"/>
            <w:tcBorders>
              <w:top w:val="dotted" w:sz="4" w:space="0" w:color="000000"/>
              <w:left w:val="nil"/>
              <w:bottom w:val="dotted" w:sz="4" w:space="0" w:color="000000"/>
              <w:right w:val="single" w:sz="4" w:space="0" w:color="000000"/>
            </w:tcBorders>
          </w:tcPr>
          <w:p w14:paraId="65A01B48" w14:textId="35F16D5B" w:rsidR="00B9675F" w:rsidRPr="00187DDA" w:rsidRDefault="00100DE1" w:rsidP="00753E15">
            <w:pPr>
              <w:spacing w:after="0" w:line="240" w:lineRule="auto"/>
              <w:rPr>
                <w:rFonts w:ascii="Verdana" w:hAnsi="Verdana"/>
                <w:sz w:val="20"/>
                <w:szCs w:val="20"/>
              </w:rPr>
            </w:pPr>
            <w:r>
              <w:rPr>
                <w:rFonts w:ascii="Verdana" w:hAnsi="Verdana"/>
                <w:sz w:val="20"/>
                <w:szCs w:val="20"/>
              </w:rPr>
              <w:t>13</w:t>
            </w:r>
          </w:p>
        </w:tc>
        <w:tc>
          <w:tcPr>
            <w:tcW w:w="5244" w:type="dxa"/>
            <w:tcBorders>
              <w:top w:val="dotted" w:sz="4" w:space="0" w:color="000000"/>
              <w:left w:val="single" w:sz="4" w:space="0" w:color="000000"/>
              <w:bottom w:val="dotted" w:sz="4" w:space="0" w:color="000000"/>
              <w:right w:val="single" w:sz="4" w:space="0" w:color="000000"/>
            </w:tcBorders>
          </w:tcPr>
          <w:p w14:paraId="4A43764B" w14:textId="77777777" w:rsidR="00B9675F" w:rsidRPr="00187DDA" w:rsidRDefault="00B9675F" w:rsidP="00753E15">
            <w:pPr>
              <w:spacing w:after="0" w:line="240" w:lineRule="auto"/>
              <w:rPr>
                <w:rFonts w:ascii="Verdana" w:hAnsi="Verdana"/>
                <w:sz w:val="20"/>
                <w:szCs w:val="20"/>
              </w:rPr>
            </w:pPr>
            <w:proofErr w:type="spellStart"/>
            <w:r w:rsidRPr="00187DDA">
              <w:rPr>
                <w:rFonts w:ascii="Verdana" w:hAnsi="Verdana"/>
                <w:sz w:val="20"/>
                <w:szCs w:val="20"/>
                <w:lang w:val="uk-UA"/>
              </w:rPr>
              <w:t>Safetica</w:t>
            </w:r>
            <w:proofErr w:type="spellEnd"/>
            <w:r w:rsidRPr="00187DDA">
              <w:rPr>
                <w:rFonts w:ascii="Verdana" w:hAnsi="Verdana"/>
                <w:sz w:val="20"/>
                <w:szCs w:val="20"/>
                <w:lang w:val="uk-UA"/>
              </w:rPr>
              <w:t xml:space="preserve"> </w:t>
            </w:r>
            <w:proofErr w:type="spellStart"/>
            <w:r w:rsidRPr="00187DDA">
              <w:rPr>
                <w:rFonts w:ascii="Verdana" w:hAnsi="Verdana"/>
                <w:sz w:val="20"/>
                <w:szCs w:val="20"/>
                <w:lang w:val="uk-UA"/>
              </w:rPr>
              <w:t>Enterprise</w:t>
            </w:r>
            <w:proofErr w:type="spellEnd"/>
            <w:r w:rsidRPr="00187DDA">
              <w:rPr>
                <w:rFonts w:ascii="Verdana" w:hAnsi="Verdana"/>
                <w:sz w:val="20"/>
                <w:szCs w:val="20"/>
                <w:lang w:val="uk-UA"/>
              </w:rPr>
              <w:t xml:space="preserve"> + UEBA </w:t>
            </w:r>
            <w:r w:rsidRPr="00187DDA">
              <w:rPr>
                <w:rFonts w:ascii="Verdana" w:hAnsi="Verdana"/>
                <w:sz w:val="20"/>
                <w:szCs w:val="20"/>
              </w:rPr>
              <w:t>100</w:t>
            </w:r>
            <w:r w:rsidRPr="00187DDA">
              <w:rPr>
                <w:rFonts w:ascii="Verdana" w:hAnsi="Verdana"/>
                <w:sz w:val="20"/>
                <w:szCs w:val="20"/>
                <w:lang w:val="uk-UA"/>
              </w:rPr>
              <w:t xml:space="preserve"> </w:t>
            </w:r>
            <w:proofErr w:type="spellStart"/>
            <w:r w:rsidRPr="00187DDA">
              <w:rPr>
                <w:rFonts w:ascii="Verdana" w:hAnsi="Verdana"/>
                <w:sz w:val="20"/>
                <w:szCs w:val="20"/>
                <w:lang w:val="uk-UA"/>
              </w:rPr>
              <w:t>obj</w:t>
            </w:r>
            <w:proofErr w:type="spellEnd"/>
            <w:r w:rsidRPr="00187DDA">
              <w:rPr>
                <w:rFonts w:ascii="Verdana" w:hAnsi="Verdana"/>
                <w:sz w:val="20"/>
                <w:szCs w:val="20"/>
                <w:lang w:val="uk-UA"/>
              </w:rPr>
              <w:t>./1 y.</w:t>
            </w:r>
          </w:p>
        </w:tc>
        <w:tc>
          <w:tcPr>
            <w:tcW w:w="709" w:type="dxa"/>
            <w:tcBorders>
              <w:top w:val="dotted" w:sz="4" w:space="0" w:color="000000"/>
              <w:left w:val="single" w:sz="4" w:space="0" w:color="000000"/>
              <w:bottom w:val="dotted" w:sz="4" w:space="0" w:color="000000"/>
              <w:right w:val="nil"/>
            </w:tcBorders>
          </w:tcPr>
          <w:p w14:paraId="191DEC9F" w14:textId="77777777" w:rsidR="00B9675F" w:rsidRPr="00187DDA" w:rsidRDefault="00B9675F" w:rsidP="00753E15">
            <w:pPr>
              <w:spacing w:after="0" w:line="240" w:lineRule="auto"/>
              <w:jc w:val="center"/>
              <w:rPr>
                <w:rFonts w:ascii="Verdana" w:hAnsi="Verdana"/>
                <w:sz w:val="20"/>
                <w:szCs w:val="20"/>
              </w:rPr>
            </w:pPr>
            <w:r w:rsidRPr="00187DDA">
              <w:rPr>
                <w:rFonts w:ascii="Verdana" w:hAnsi="Verdana"/>
                <w:sz w:val="20"/>
                <w:szCs w:val="20"/>
              </w:rPr>
              <w:t>1</w:t>
            </w:r>
          </w:p>
        </w:tc>
        <w:tc>
          <w:tcPr>
            <w:tcW w:w="1560" w:type="dxa"/>
            <w:tcBorders>
              <w:top w:val="dotted" w:sz="4" w:space="0" w:color="000000"/>
              <w:left w:val="single" w:sz="4" w:space="0" w:color="000000"/>
              <w:bottom w:val="dotted" w:sz="4" w:space="0" w:color="000000"/>
              <w:right w:val="nil"/>
            </w:tcBorders>
            <w:shd w:val="clear" w:color="auto" w:fill="auto"/>
          </w:tcPr>
          <w:p w14:paraId="2C0B4D48" w14:textId="774809C9" w:rsidR="00B9675F" w:rsidRPr="00187DDA" w:rsidRDefault="00B9675F" w:rsidP="00753E15">
            <w:pPr>
              <w:spacing w:after="0" w:line="240" w:lineRule="auto"/>
              <w:rPr>
                <w:rFonts w:ascii="Verdana" w:hAnsi="Verdana"/>
                <w:iCs/>
                <w:sz w:val="18"/>
                <w:szCs w:val="18"/>
              </w:rPr>
            </w:pPr>
            <w:r>
              <w:rPr>
                <w:rFonts w:ascii="Verdana" w:hAnsi="Verdana"/>
                <w:iCs/>
                <w:sz w:val="18"/>
                <w:szCs w:val="18"/>
              </w:rPr>
              <w:t>software</w:t>
            </w:r>
          </w:p>
        </w:tc>
        <w:tc>
          <w:tcPr>
            <w:tcW w:w="1559" w:type="dxa"/>
            <w:tcBorders>
              <w:top w:val="dotted" w:sz="4" w:space="0" w:color="000000"/>
              <w:left w:val="single" w:sz="4" w:space="0" w:color="000000"/>
              <w:bottom w:val="dotted" w:sz="4" w:space="0" w:color="000000"/>
              <w:right w:val="nil"/>
            </w:tcBorders>
            <w:shd w:val="clear" w:color="auto" w:fill="auto"/>
          </w:tcPr>
          <w:p w14:paraId="48A07B81" w14:textId="09FD0E7C" w:rsidR="00B9675F" w:rsidRPr="00187DDA" w:rsidRDefault="00B9675F" w:rsidP="00753E15">
            <w:pPr>
              <w:spacing w:after="0" w:line="240" w:lineRule="auto"/>
              <w:rPr>
                <w:rFonts w:ascii="Verdana" w:hAnsi="Verdana"/>
                <w:iCs/>
                <w:sz w:val="18"/>
                <w:szCs w:val="18"/>
              </w:rPr>
            </w:pPr>
            <w:r>
              <w:rPr>
                <w:rFonts w:ascii="Verdana" w:hAnsi="Verdana"/>
                <w:iCs/>
                <w:sz w:val="18"/>
                <w:szCs w:val="18"/>
              </w:rPr>
              <w:t xml:space="preserve">HACC </w:t>
            </w:r>
            <w:r>
              <w:rPr>
                <w:rFonts w:ascii="Verdana" w:hAnsi="Verdana"/>
                <w:iCs/>
                <w:sz w:val="18"/>
                <w:szCs w:val="18"/>
              </w:rPr>
              <w:br/>
              <w:t xml:space="preserve">Appeal </w:t>
            </w:r>
            <w:proofErr w:type="spellStart"/>
            <w:r>
              <w:rPr>
                <w:rFonts w:ascii="Verdana" w:hAnsi="Verdana"/>
                <w:iCs/>
                <w:sz w:val="18"/>
                <w:szCs w:val="18"/>
              </w:rPr>
              <w:t>hamber</w:t>
            </w:r>
            <w:proofErr w:type="spellEnd"/>
          </w:p>
        </w:tc>
      </w:tr>
    </w:tbl>
    <w:p w14:paraId="66CA77FC" w14:textId="55F9936C" w:rsidR="004D1E47" w:rsidRPr="00504990" w:rsidRDefault="00504990" w:rsidP="006813C5">
      <w:pPr>
        <w:spacing w:before="240" w:after="120" w:line="240" w:lineRule="auto"/>
        <w:jc w:val="both"/>
        <w:rPr>
          <w:rFonts w:ascii="Verdana" w:eastAsia="Verdana" w:hAnsi="Verdana" w:cs="Verdana"/>
          <w:b/>
          <w:sz w:val="20"/>
          <w:szCs w:val="20"/>
        </w:rPr>
      </w:pPr>
      <w:r w:rsidRPr="00504990">
        <w:rPr>
          <w:rFonts w:ascii="Verdana" w:eastAsia="Verdana" w:hAnsi="Verdana" w:cs="Verdana"/>
          <w:b/>
          <w:sz w:val="20"/>
          <w:szCs w:val="20"/>
        </w:rPr>
        <w:t>Budget, timeframe, and location</w:t>
      </w:r>
    </w:p>
    <w:p w14:paraId="1983605C" w14:textId="057903ED" w:rsidR="009248C2" w:rsidRPr="009248C2" w:rsidRDefault="009248C2" w:rsidP="009248C2">
      <w:pPr>
        <w:spacing w:before="120" w:after="120" w:line="240" w:lineRule="auto"/>
        <w:jc w:val="both"/>
        <w:rPr>
          <w:rFonts w:ascii="Verdana" w:eastAsia="Verdana" w:hAnsi="Verdana" w:cs="Verdana"/>
          <w:bCs/>
          <w:color w:val="000000" w:themeColor="text1"/>
          <w:sz w:val="20"/>
          <w:szCs w:val="20"/>
        </w:rPr>
      </w:pPr>
      <w:r w:rsidRPr="009248C2">
        <w:rPr>
          <w:rFonts w:ascii="Verdana" w:eastAsia="Verdana" w:hAnsi="Verdana" w:cs="Verdana"/>
          <w:bCs/>
          <w:color w:val="000000" w:themeColor="text1"/>
          <w:sz w:val="20"/>
          <w:szCs w:val="20"/>
        </w:rPr>
        <w:t xml:space="preserve">The maximum budget for the procurement is EUR 29,000. The budget includes </w:t>
      </w:r>
      <w:r w:rsidRPr="009248C2">
        <w:rPr>
          <w:rFonts w:ascii="Verdana" w:eastAsia="Verdana" w:hAnsi="Verdana" w:cs="Verdana"/>
          <w:iCs/>
          <w:color w:val="000000" w:themeColor="text1"/>
          <w:sz w:val="20"/>
          <w:szCs w:val="20"/>
        </w:rPr>
        <w:t>software renewals, hardware support extensions, new software and hardware</w:t>
      </w:r>
      <w:r w:rsidRPr="009248C2">
        <w:rPr>
          <w:rFonts w:ascii="Verdana" w:eastAsia="Verdana" w:hAnsi="Verdana" w:cs="Verdana"/>
          <w:iCs/>
          <w:color w:val="000000" w:themeColor="text1"/>
          <w:sz w:val="20"/>
          <w:szCs w:val="20"/>
          <w:lang w:val="uk-UA"/>
        </w:rPr>
        <w:t xml:space="preserve">, </w:t>
      </w:r>
      <w:r w:rsidRPr="009248C2">
        <w:rPr>
          <w:rFonts w:ascii="Verdana" w:eastAsia="Verdana" w:hAnsi="Verdana" w:cs="Verdana"/>
          <w:bCs/>
          <w:color w:val="000000" w:themeColor="text1"/>
          <w:sz w:val="20"/>
          <w:szCs w:val="20"/>
        </w:rPr>
        <w:t xml:space="preserve">and delivery to </w:t>
      </w:r>
      <w:r w:rsidRPr="009248C2">
        <w:rPr>
          <w:rFonts w:ascii="Verdana" w:eastAsia="Verdana" w:hAnsi="Verdana" w:cs="Verdana"/>
          <w:bCs/>
          <w:color w:val="000000" w:themeColor="text1"/>
          <w:sz w:val="20"/>
          <w:szCs w:val="20"/>
          <w:lang w:val="uk-UA"/>
        </w:rPr>
        <w:t>НАСС</w:t>
      </w:r>
      <w:r>
        <w:rPr>
          <w:rFonts w:ascii="Verdana" w:eastAsia="Verdana" w:hAnsi="Verdana" w:cs="Verdana"/>
          <w:bCs/>
          <w:color w:val="000000" w:themeColor="text1"/>
          <w:sz w:val="20"/>
          <w:szCs w:val="20"/>
        </w:rPr>
        <w:t xml:space="preserve"> First Instance and HACC Appeal Chamber</w:t>
      </w:r>
      <w:r w:rsidRPr="009248C2">
        <w:rPr>
          <w:rFonts w:ascii="Verdana" w:eastAsia="Verdana" w:hAnsi="Verdana" w:cs="Verdana"/>
          <w:bCs/>
          <w:color w:val="000000" w:themeColor="text1"/>
          <w:sz w:val="20"/>
          <w:szCs w:val="20"/>
        </w:rPr>
        <w:t xml:space="preserve">. </w:t>
      </w:r>
    </w:p>
    <w:p w14:paraId="60147B77" w14:textId="28893B1B" w:rsidR="009248C2" w:rsidRPr="009248C2" w:rsidRDefault="009248C2" w:rsidP="009248C2">
      <w:pPr>
        <w:spacing w:before="120" w:after="120" w:line="240" w:lineRule="auto"/>
        <w:jc w:val="both"/>
        <w:rPr>
          <w:rFonts w:ascii="Verdana" w:eastAsia="Verdana" w:hAnsi="Verdana" w:cs="Verdana"/>
          <w:bCs/>
          <w:color w:val="000000" w:themeColor="text1"/>
          <w:sz w:val="20"/>
          <w:szCs w:val="20"/>
        </w:rPr>
      </w:pPr>
      <w:r w:rsidRPr="009248C2">
        <w:rPr>
          <w:rFonts w:ascii="Verdana" w:eastAsia="Verdana" w:hAnsi="Verdana" w:cs="Verdana"/>
          <w:bCs/>
          <w:color w:val="000000" w:themeColor="text1"/>
          <w:sz w:val="20"/>
          <w:szCs w:val="20"/>
        </w:rPr>
        <w:t xml:space="preserve">The delivery of software instances, license renewals, and hardware support extensions will be carried out via email to the responsible person at HACC. The delivery time for the aforementioned </w:t>
      </w:r>
      <w:r>
        <w:rPr>
          <w:rFonts w:ascii="Verdana" w:eastAsia="Verdana" w:hAnsi="Verdana" w:cs="Verdana"/>
          <w:bCs/>
          <w:color w:val="000000" w:themeColor="text1"/>
          <w:sz w:val="20"/>
          <w:szCs w:val="20"/>
        </w:rPr>
        <w:t xml:space="preserve">software </w:t>
      </w:r>
      <w:r w:rsidRPr="009248C2">
        <w:rPr>
          <w:rFonts w:ascii="Verdana" w:eastAsia="Verdana" w:hAnsi="Verdana" w:cs="Verdana"/>
          <w:bCs/>
          <w:color w:val="000000" w:themeColor="text1"/>
          <w:sz w:val="20"/>
          <w:szCs w:val="20"/>
        </w:rPr>
        <w:t xml:space="preserve">products is 1-2 weeks after advance payment. </w:t>
      </w:r>
    </w:p>
    <w:p w14:paraId="3F4C54B6" w14:textId="510A9F49" w:rsidR="001A1810" w:rsidRDefault="009248C2" w:rsidP="009248C2">
      <w:pPr>
        <w:spacing w:before="120" w:after="120" w:line="240" w:lineRule="auto"/>
        <w:jc w:val="both"/>
        <w:rPr>
          <w:rFonts w:ascii="Verdana" w:eastAsia="Verdana" w:hAnsi="Verdana" w:cs="Verdana"/>
          <w:color w:val="000000" w:themeColor="text1"/>
          <w:sz w:val="20"/>
          <w:szCs w:val="20"/>
        </w:rPr>
      </w:pPr>
      <w:r w:rsidRPr="009248C2">
        <w:rPr>
          <w:rFonts w:ascii="Verdana" w:eastAsia="Verdana" w:hAnsi="Verdana" w:cs="Verdana"/>
          <w:bCs/>
          <w:color w:val="000000" w:themeColor="text1"/>
          <w:sz w:val="20"/>
          <w:szCs w:val="20"/>
        </w:rPr>
        <w:t xml:space="preserve">The delivery time for Fortinet </w:t>
      </w:r>
      <w:r>
        <w:rPr>
          <w:rFonts w:ascii="Verdana" w:eastAsia="Verdana" w:hAnsi="Verdana" w:cs="Verdana"/>
          <w:bCs/>
          <w:color w:val="000000" w:themeColor="text1"/>
          <w:sz w:val="20"/>
          <w:szCs w:val="20"/>
        </w:rPr>
        <w:t>FortiGate Firewall FG-120G (</w:t>
      </w:r>
      <w:r w:rsidRPr="009248C2">
        <w:rPr>
          <w:rFonts w:ascii="Verdana" w:eastAsia="Verdana" w:hAnsi="Verdana" w:cs="Verdana"/>
          <w:bCs/>
          <w:color w:val="000000" w:themeColor="text1"/>
          <w:sz w:val="20"/>
          <w:szCs w:val="20"/>
        </w:rPr>
        <w:t>hardware</w:t>
      </w:r>
      <w:r>
        <w:rPr>
          <w:rFonts w:ascii="Verdana" w:eastAsia="Verdana" w:hAnsi="Verdana" w:cs="Verdana"/>
          <w:bCs/>
          <w:color w:val="000000" w:themeColor="text1"/>
          <w:sz w:val="20"/>
          <w:szCs w:val="20"/>
        </w:rPr>
        <w:t>)</w:t>
      </w:r>
      <w:r w:rsidRPr="009248C2">
        <w:rPr>
          <w:rFonts w:ascii="Verdana" w:eastAsia="Verdana" w:hAnsi="Verdana" w:cs="Verdana"/>
          <w:bCs/>
          <w:color w:val="000000" w:themeColor="text1"/>
          <w:sz w:val="20"/>
          <w:szCs w:val="20"/>
        </w:rPr>
        <w:t xml:space="preserve"> is 45-60 days from the date of contract signing.</w:t>
      </w:r>
    </w:p>
    <w:p w14:paraId="0BC5B9CE" w14:textId="0E329129" w:rsidR="001A1810" w:rsidRPr="00504990" w:rsidRDefault="009C264D" w:rsidP="009248C2">
      <w:pPr>
        <w:spacing w:before="120" w:after="120" w:line="240" w:lineRule="auto"/>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4395"/>
        <w:gridCol w:w="3260"/>
        <w:gridCol w:w="1950"/>
      </w:tblGrid>
      <w:tr w:rsidR="00504990" w:rsidRPr="00504990" w14:paraId="39F24F5E" w14:textId="77777777" w:rsidTr="00145FA3">
        <w:trPr>
          <w:trHeight w:val="280"/>
        </w:trPr>
        <w:tc>
          <w:tcPr>
            <w:tcW w:w="4395" w:type="dxa"/>
            <w:tcBorders>
              <w:top w:val="single" w:sz="8" w:space="0" w:color="000000"/>
              <w:left w:val="nil"/>
              <w:bottom w:val="single" w:sz="4" w:space="0" w:color="000000"/>
            </w:tcBorders>
            <w:shd w:val="clear" w:color="auto" w:fill="C6D9F1" w:themeFill="text2" w:themeFillTint="33"/>
          </w:tcPr>
          <w:p w14:paraId="0FD5C9C0" w14:textId="77777777" w:rsidR="00504990" w:rsidRPr="00504990" w:rsidRDefault="00504990" w:rsidP="00504990">
            <w:pPr>
              <w:spacing w:after="60" w:line="240" w:lineRule="auto"/>
              <w:rPr>
                <w:rFonts w:ascii="Verdana" w:hAnsi="Verdana"/>
                <w:b/>
                <w:color w:val="000000" w:themeColor="text1"/>
                <w:sz w:val="20"/>
                <w:szCs w:val="20"/>
              </w:rPr>
            </w:pPr>
            <w:bookmarkStart w:id="5" w:name="_Hlk135929851"/>
            <w:r w:rsidRPr="00504990">
              <w:rPr>
                <w:rFonts w:ascii="Verdana" w:hAnsi="Verdana"/>
                <w:b/>
                <w:color w:val="000000" w:themeColor="text1"/>
                <w:sz w:val="20"/>
                <w:szCs w:val="20"/>
              </w:rPr>
              <w:t>Task</w:t>
            </w:r>
          </w:p>
        </w:tc>
        <w:tc>
          <w:tcPr>
            <w:tcW w:w="3260" w:type="dxa"/>
            <w:tcBorders>
              <w:top w:val="single" w:sz="8" w:space="0" w:color="000000"/>
              <w:bottom w:val="single" w:sz="4" w:space="0" w:color="000000"/>
            </w:tcBorders>
            <w:shd w:val="clear" w:color="auto" w:fill="C6D9F1" w:themeFill="text2" w:themeFillTint="33"/>
          </w:tcPr>
          <w:p w14:paraId="17A97C35" w14:textId="77777777" w:rsidR="00504990" w:rsidRPr="00504990" w:rsidRDefault="00504990" w:rsidP="00504990">
            <w:pPr>
              <w:spacing w:after="60" w:line="240" w:lineRule="auto"/>
              <w:rPr>
                <w:rFonts w:ascii="Verdana" w:hAnsi="Verdana"/>
                <w:b/>
                <w:color w:val="000000" w:themeColor="text1"/>
                <w:sz w:val="20"/>
                <w:szCs w:val="20"/>
              </w:rPr>
            </w:pPr>
            <w:r w:rsidRPr="00504990">
              <w:rPr>
                <w:rFonts w:ascii="Verdana" w:hAnsi="Verdana"/>
                <w:b/>
                <w:color w:val="000000" w:themeColor="text1"/>
                <w:sz w:val="20"/>
                <w:szCs w:val="20"/>
              </w:rPr>
              <w:t>Date</w:t>
            </w:r>
          </w:p>
        </w:tc>
        <w:tc>
          <w:tcPr>
            <w:tcW w:w="1950" w:type="dxa"/>
            <w:tcBorders>
              <w:top w:val="single" w:sz="8" w:space="0" w:color="000000"/>
              <w:bottom w:val="single" w:sz="4" w:space="0" w:color="000000"/>
              <w:right w:val="nil"/>
            </w:tcBorders>
            <w:shd w:val="clear" w:color="auto" w:fill="C6D9F1" w:themeFill="text2" w:themeFillTint="33"/>
          </w:tcPr>
          <w:p w14:paraId="5C0EAC3C" w14:textId="77777777" w:rsidR="00504990" w:rsidRPr="00504990" w:rsidRDefault="00504990" w:rsidP="00504990">
            <w:pPr>
              <w:spacing w:after="60" w:line="240" w:lineRule="auto"/>
              <w:rPr>
                <w:rFonts w:ascii="Verdana" w:hAnsi="Verdana"/>
                <w:b/>
                <w:color w:val="000000" w:themeColor="text1"/>
                <w:sz w:val="20"/>
                <w:szCs w:val="20"/>
              </w:rPr>
            </w:pPr>
            <w:r w:rsidRPr="00504990">
              <w:rPr>
                <w:rFonts w:ascii="Verdana" w:hAnsi="Verdana"/>
                <w:b/>
                <w:color w:val="000000" w:themeColor="text1"/>
                <w:sz w:val="20"/>
                <w:szCs w:val="20"/>
              </w:rPr>
              <w:t>Time</w:t>
            </w:r>
          </w:p>
        </w:tc>
      </w:tr>
      <w:tr w:rsidR="00504990" w:rsidRPr="00504990" w14:paraId="02E137BE" w14:textId="77777777" w:rsidTr="00145FA3">
        <w:trPr>
          <w:trHeight w:val="77"/>
        </w:trPr>
        <w:tc>
          <w:tcPr>
            <w:tcW w:w="4395" w:type="dxa"/>
            <w:tcBorders>
              <w:top w:val="single" w:sz="4" w:space="0" w:color="000000"/>
              <w:left w:val="nil"/>
              <w:bottom w:val="dotted" w:sz="4" w:space="0" w:color="000000"/>
            </w:tcBorders>
          </w:tcPr>
          <w:p w14:paraId="1FDB8D43"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Issuing the Request for Bid</w:t>
            </w:r>
          </w:p>
        </w:tc>
        <w:tc>
          <w:tcPr>
            <w:tcW w:w="3260" w:type="dxa"/>
            <w:tcBorders>
              <w:top w:val="single" w:sz="4" w:space="0" w:color="000000"/>
              <w:bottom w:val="dotted" w:sz="4" w:space="0" w:color="000000"/>
            </w:tcBorders>
          </w:tcPr>
          <w:p w14:paraId="44C6FB16" w14:textId="38CDECA0"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0</w:t>
            </w:r>
            <w:r w:rsidR="00733793">
              <w:rPr>
                <w:rFonts w:ascii="Verdana" w:hAnsi="Verdana"/>
                <w:sz w:val="20"/>
                <w:szCs w:val="20"/>
              </w:rPr>
              <w:t>8</w:t>
            </w:r>
            <w:r w:rsidRPr="00504990">
              <w:rPr>
                <w:rFonts w:ascii="Verdana" w:hAnsi="Verdana"/>
                <w:sz w:val="20"/>
                <w:szCs w:val="20"/>
              </w:rPr>
              <w:t xml:space="preserve"> </w:t>
            </w:r>
            <w:r w:rsidR="00733793">
              <w:rPr>
                <w:rFonts w:ascii="Verdana" w:hAnsi="Verdana"/>
                <w:sz w:val="20"/>
                <w:szCs w:val="20"/>
              </w:rPr>
              <w:t>April</w:t>
            </w:r>
            <w:r w:rsidRPr="00504990">
              <w:rPr>
                <w:rFonts w:ascii="Verdana" w:hAnsi="Verdana"/>
                <w:sz w:val="20"/>
                <w:szCs w:val="20"/>
              </w:rPr>
              <w:t xml:space="preserve"> 202</w:t>
            </w:r>
            <w:r w:rsidR="00733793">
              <w:rPr>
                <w:rFonts w:ascii="Verdana" w:hAnsi="Verdana"/>
                <w:sz w:val="20"/>
                <w:szCs w:val="20"/>
              </w:rPr>
              <w:t>5</w:t>
            </w:r>
          </w:p>
        </w:tc>
        <w:tc>
          <w:tcPr>
            <w:tcW w:w="1950" w:type="dxa"/>
            <w:tcBorders>
              <w:top w:val="single" w:sz="4" w:space="0" w:color="000000"/>
              <w:bottom w:val="dotted" w:sz="4" w:space="0" w:color="000000"/>
              <w:right w:val="nil"/>
            </w:tcBorders>
          </w:tcPr>
          <w:p w14:paraId="209B5A3A" w14:textId="77777777" w:rsidR="00504990" w:rsidRPr="00504990" w:rsidRDefault="00504990" w:rsidP="00890B73">
            <w:pPr>
              <w:spacing w:after="0" w:line="240" w:lineRule="auto"/>
              <w:rPr>
                <w:rFonts w:ascii="Verdana" w:hAnsi="Verdana"/>
                <w:sz w:val="20"/>
                <w:szCs w:val="20"/>
              </w:rPr>
            </w:pPr>
          </w:p>
        </w:tc>
      </w:tr>
      <w:tr w:rsidR="00504990" w:rsidRPr="00504990" w14:paraId="3D7133C2" w14:textId="77777777" w:rsidTr="00145FA3">
        <w:tc>
          <w:tcPr>
            <w:tcW w:w="4395" w:type="dxa"/>
            <w:tcBorders>
              <w:top w:val="dotted" w:sz="4" w:space="0" w:color="000000"/>
              <w:left w:val="nil"/>
              <w:bottom w:val="dotted" w:sz="4" w:space="0" w:color="000000"/>
            </w:tcBorders>
          </w:tcPr>
          <w:p w14:paraId="1524313E"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lastRenderedPageBreak/>
              <w:t xml:space="preserve">Deadline for submission of bids </w:t>
            </w:r>
          </w:p>
        </w:tc>
        <w:tc>
          <w:tcPr>
            <w:tcW w:w="3260" w:type="dxa"/>
            <w:tcBorders>
              <w:top w:val="dotted" w:sz="4" w:space="0" w:color="000000"/>
              <w:bottom w:val="dotted" w:sz="4" w:space="0" w:color="000000"/>
            </w:tcBorders>
          </w:tcPr>
          <w:p w14:paraId="2881DA5D" w14:textId="7611C5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1</w:t>
            </w:r>
            <w:r w:rsidR="00733793">
              <w:rPr>
                <w:rFonts w:ascii="Verdana" w:hAnsi="Verdana"/>
                <w:sz w:val="20"/>
                <w:szCs w:val="20"/>
              </w:rPr>
              <w:t>8</w:t>
            </w:r>
            <w:r w:rsidRPr="00504990">
              <w:rPr>
                <w:rFonts w:ascii="Verdana" w:hAnsi="Verdana"/>
                <w:sz w:val="20"/>
                <w:szCs w:val="20"/>
              </w:rPr>
              <w:t xml:space="preserve"> </w:t>
            </w:r>
            <w:r w:rsidR="00733793">
              <w:rPr>
                <w:rFonts w:ascii="Verdana" w:hAnsi="Verdana"/>
                <w:sz w:val="20"/>
                <w:szCs w:val="20"/>
              </w:rPr>
              <w:t>April</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dotted" w:sz="4" w:space="0" w:color="000000"/>
              <w:right w:val="nil"/>
            </w:tcBorders>
          </w:tcPr>
          <w:p w14:paraId="18A2ED2A"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17:00 Kyiv time</w:t>
            </w:r>
          </w:p>
        </w:tc>
      </w:tr>
      <w:tr w:rsidR="00504990" w:rsidRPr="00504990" w14:paraId="6EAFF72F" w14:textId="77777777" w:rsidTr="00145FA3">
        <w:tc>
          <w:tcPr>
            <w:tcW w:w="4395" w:type="dxa"/>
            <w:tcBorders>
              <w:top w:val="dotted" w:sz="4" w:space="0" w:color="000000"/>
              <w:left w:val="nil"/>
              <w:bottom w:val="dotted" w:sz="4" w:space="0" w:color="000000"/>
            </w:tcBorders>
          </w:tcPr>
          <w:p w14:paraId="3ADB689A"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Evaluation of the bids (provisional)</w:t>
            </w:r>
          </w:p>
        </w:tc>
        <w:tc>
          <w:tcPr>
            <w:tcW w:w="3260" w:type="dxa"/>
            <w:tcBorders>
              <w:top w:val="dotted" w:sz="4" w:space="0" w:color="000000"/>
              <w:bottom w:val="dotted" w:sz="4" w:space="0" w:color="000000"/>
            </w:tcBorders>
          </w:tcPr>
          <w:p w14:paraId="0E48AE98" w14:textId="17040CA1" w:rsidR="00504990" w:rsidRPr="00504990" w:rsidRDefault="00733793" w:rsidP="00890B73">
            <w:pPr>
              <w:spacing w:after="0" w:line="240" w:lineRule="auto"/>
              <w:rPr>
                <w:rFonts w:ascii="Verdana" w:hAnsi="Verdana"/>
                <w:sz w:val="20"/>
                <w:szCs w:val="20"/>
              </w:rPr>
            </w:pPr>
            <w:r>
              <w:rPr>
                <w:rFonts w:ascii="Verdana" w:hAnsi="Verdana"/>
                <w:sz w:val="20"/>
                <w:szCs w:val="20"/>
              </w:rPr>
              <w:t>21</w:t>
            </w:r>
            <w:r w:rsidR="00504990" w:rsidRPr="00504990">
              <w:rPr>
                <w:rFonts w:ascii="Verdana" w:hAnsi="Verdana"/>
                <w:sz w:val="20"/>
                <w:szCs w:val="20"/>
              </w:rPr>
              <w:t xml:space="preserve"> </w:t>
            </w:r>
            <w:r>
              <w:rPr>
                <w:rFonts w:ascii="Verdana" w:hAnsi="Verdana"/>
                <w:sz w:val="20"/>
                <w:szCs w:val="20"/>
              </w:rPr>
              <w:t>April</w:t>
            </w:r>
            <w:r w:rsidRPr="00504990">
              <w:rPr>
                <w:rFonts w:ascii="Verdana" w:hAnsi="Verdana"/>
                <w:sz w:val="20"/>
                <w:szCs w:val="20"/>
              </w:rPr>
              <w:t xml:space="preserve"> 202</w:t>
            </w:r>
            <w:r>
              <w:rPr>
                <w:rFonts w:ascii="Verdana" w:hAnsi="Verdana"/>
                <w:sz w:val="20"/>
                <w:szCs w:val="20"/>
              </w:rPr>
              <w:t>5</w:t>
            </w:r>
          </w:p>
        </w:tc>
        <w:tc>
          <w:tcPr>
            <w:tcW w:w="1950" w:type="dxa"/>
            <w:tcBorders>
              <w:top w:val="dotted" w:sz="4" w:space="0" w:color="000000"/>
              <w:bottom w:val="dotted" w:sz="4" w:space="0" w:color="000000"/>
              <w:right w:val="nil"/>
            </w:tcBorders>
          </w:tcPr>
          <w:p w14:paraId="155EBE1C" w14:textId="77777777" w:rsidR="00504990" w:rsidRPr="00504990" w:rsidRDefault="00504990" w:rsidP="00890B73">
            <w:pPr>
              <w:spacing w:after="0" w:line="240" w:lineRule="auto"/>
              <w:rPr>
                <w:rFonts w:ascii="Verdana" w:hAnsi="Verdana"/>
                <w:sz w:val="20"/>
                <w:szCs w:val="20"/>
              </w:rPr>
            </w:pPr>
          </w:p>
        </w:tc>
      </w:tr>
      <w:tr w:rsidR="00504990" w:rsidRPr="00504990" w14:paraId="1A47E9EB" w14:textId="77777777" w:rsidTr="00145FA3">
        <w:tc>
          <w:tcPr>
            <w:tcW w:w="4395" w:type="dxa"/>
            <w:tcBorders>
              <w:top w:val="dotted" w:sz="4" w:space="0" w:color="000000"/>
              <w:left w:val="nil"/>
              <w:bottom w:val="dotted" w:sz="4" w:space="0" w:color="000000"/>
            </w:tcBorders>
          </w:tcPr>
          <w:p w14:paraId="6FAABD0F"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Notification of award to the successful Supplier (provisional)</w:t>
            </w:r>
          </w:p>
        </w:tc>
        <w:tc>
          <w:tcPr>
            <w:tcW w:w="3260" w:type="dxa"/>
            <w:tcBorders>
              <w:top w:val="dotted" w:sz="4" w:space="0" w:color="000000"/>
              <w:bottom w:val="dotted" w:sz="4" w:space="0" w:color="000000"/>
            </w:tcBorders>
          </w:tcPr>
          <w:p w14:paraId="0423D360" w14:textId="2C29D847" w:rsidR="00504990" w:rsidRPr="00504990" w:rsidRDefault="00733793" w:rsidP="00890B73">
            <w:pPr>
              <w:spacing w:after="0" w:line="240" w:lineRule="auto"/>
              <w:rPr>
                <w:rFonts w:ascii="Verdana" w:hAnsi="Verdana"/>
                <w:sz w:val="20"/>
                <w:szCs w:val="20"/>
              </w:rPr>
            </w:pPr>
            <w:r>
              <w:rPr>
                <w:rFonts w:ascii="Verdana" w:hAnsi="Verdana"/>
                <w:sz w:val="20"/>
                <w:szCs w:val="20"/>
              </w:rPr>
              <w:t>21</w:t>
            </w:r>
            <w:r w:rsidR="00504990" w:rsidRPr="00504990">
              <w:rPr>
                <w:rFonts w:ascii="Verdana" w:hAnsi="Verdana"/>
                <w:sz w:val="20"/>
                <w:szCs w:val="20"/>
              </w:rPr>
              <w:t xml:space="preserve"> </w:t>
            </w:r>
            <w:r>
              <w:rPr>
                <w:rFonts w:ascii="Verdana" w:hAnsi="Verdana"/>
                <w:sz w:val="20"/>
                <w:szCs w:val="20"/>
              </w:rPr>
              <w:t>April</w:t>
            </w:r>
            <w:r w:rsidRPr="00504990">
              <w:rPr>
                <w:rFonts w:ascii="Verdana" w:hAnsi="Verdana"/>
                <w:sz w:val="20"/>
                <w:szCs w:val="20"/>
              </w:rPr>
              <w:t xml:space="preserve"> 202</w:t>
            </w:r>
            <w:r>
              <w:rPr>
                <w:rFonts w:ascii="Verdana" w:hAnsi="Verdana"/>
                <w:sz w:val="20"/>
                <w:szCs w:val="20"/>
              </w:rPr>
              <w:t>5</w:t>
            </w:r>
          </w:p>
        </w:tc>
        <w:tc>
          <w:tcPr>
            <w:tcW w:w="1950" w:type="dxa"/>
            <w:tcBorders>
              <w:top w:val="dotted" w:sz="4" w:space="0" w:color="000000"/>
              <w:bottom w:val="dotted" w:sz="4" w:space="0" w:color="000000"/>
              <w:right w:val="nil"/>
            </w:tcBorders>
          </w:tcPr>
          <w:p w14:paraId="6D70C524" w14:textId="77777777" w:rsidR="00504990" w:rsidRPr="00504990" w:rsidRDefault="00504990" w:rsidP="00890B73">
            <w:pPr>
              <w:spacing w:after="0" w:line="240" w:lineRule="auto"/>
              <w:rPr>
                <w:rFonts w:ascii="Verdana" w:hAnsi="Verdana"/>
                <w:sz w:val="20"/>
                <w:szCs w:val="20"/>
              </w:rPr>
            </w:pPr>
          </w:p>
        </w:tc>
      </w:tr>
      <w:tr w:rsidR="00504990" w:rsidRPr="00504990" w14:paraId="771927FF" w14:textId="77777777" w:rsidTr="00145FA3">
        <w:tc>
          <w:tcPr>
            <w:tcW w:w="4395" w:type="dxa"/>
            <w:tcBorders>
              <w:top w:val="dotted" w:sz="4" w:space="0" w:color="000000"/>
              <w:left w:val="nil"/>
              <w:bottom w:val="dotted" w:sz="4" w:space="0" w:color="000000"/>
            </w:tcBorders>
          </w:tcPr>
          <w:p w14:paraId="53E5AF51" w14:textId="77777777"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Signature of the contract (provisional)</w:t>
            </w:r>
          </w:p>
        </w:tc>
        <w:tc>
          <w:tcPr>
            <w:tcW w:w="3260" w:type="dxa"/>
            <w:tcBorders>
              <w:top w:val="dotted" w:sz="4" w:space="0" w:color="000000"/>
              <w:bottom w:val="dotted" w:sz="4" w:space="0" w:color="000000"/>
            </w:tcBorders>
          </w:tcPr>
          <w:p w14:paraId="2D839330" w14:textId="24FEE286" w:rsidR="00504990" w:rsidRPr="00504990" w:rsidRDefault="00504990" w:rsidP="00890B73">
            <w:pPr>
              <w:spacing w:after="0" w:line="240" w:lineRule="auto"/>
              <w:rPr>
                <w:rFonts w:ascii="Verdana" w:hAnsi="Verdana"/>
                <w:sz w:val="20"/>
                <w:szCs w:val="20"/>
              </w:rPr>
            </w:pPr>
            <w:r w:rsidRPr="00504990">
              <w:rPr>
                <w:rFonts w:ascii="Verdana" w:hAnsi="Verdana"/>
                <w:sz w:val="20"/>
                <w:szCs w:val="20"/>
              </w:rPr>
              <w:t>2</w:t>
            </w:r>
            <w:r w:rsidR="00733793">
              <w:rPr>
                <w:rFonts w:ascii="Verdana" w:hAnsi="Verdana"/>
                <w:sz w:val="20"/>
                <w:szCs w:val="20"/>
              </w:rPr>
              <w:t>5</w:t>
            </w:r>
            <w:r w:rsidRPr="00504990">
              <w:rPr>
                <w:rFonts w:ascii="Verdana" w:hAnsi="Verdana"/>
                <w:sz w:val="20"/>
                <w:szCs w:val="20"/>
              </w:rPr>
              <w:t xml:space="preserve"> </w:t>
            </w:r>
            <w:r w:rsidR="00733793">
              <w:rPr>
                <w:rFonts w:ascii="Verdana" w:hAnsi="Verdana"/>
                <w:sz w:val="20"/>
                <w:szCs w:val="20"/>
              </w:rPr>
              <w:t>April</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dotted" w:sz="4" w:space="0" w:color="000000"/>
              <w:right w:val="nil"/>
            </w:tcBorders>
          </w:tcPr>
          <w:p w14:paraId="2BB26D55" w14:textId="77777777" w:rsidR="00504990" w:rsidRPr="00504990" w:rsidRDefault="00504990" w:rsidP="00890B73">
            <w:pPr>
              <w:spacing w:after="0" w:line="240" w:lineRule="auto"/>
              <w:rPr>
                <w:rFonts w:ascii="Verdana" w:hAnsi="Verdana"/>
                <w:sz w:val="20"/>
                <w:szCs w:val="20"/>
              </w:rPr>
            </w:pPr>
          </w:p>
        </w:tc>
      </w:tr>
      <w:tr w:rsidR="00733793" w:rsidRPr="00504990" w14:paraId="1AC96166" w14:textId="77777777" w:rsidTr="00145FA3">
        <w:tc>
          <w:tcPr>
            <w:tcW w:w="4395" w:type="dxa"/>
            <w:tcBorders>
              <w:top w:val="dotted" w:sz="4" w:space="0" w:color="000000"/>
              <w:left w:val="nil"/>
              <w:bottom w:val="dotted" w:sz="4" w:space="0" w:color="000000"/>
            </w:tcBorders>
          </w:tcPr>
          <w:p w14:paraId="196F7AA4" w14:textId="00A79DDA" w:rsidR="00733793" w:rsidRPr="00504990" w:rsidRDefault="00733793" w:rsidP="00890B73">
            <w:pPr>
              <w:spacing w:after="0" w:line="240" w:lineRule="auto"/>
              <w:rPr>
                <w:rFonts w:ascii="Verdana" w:hAnsi="Verdana"/>
                <w:sz w:val="20"/>
                <w:szCs w:val="20"/>
              </w:rPr>
            </w:pPr>
            <w:r>
              <w:rPr>
                <w:rFonts w:ascii="Verdana" w:hAnsi="Verdana"/>
                <w:sz w:val="20"/>
                <w:szCs w:val="20"/>
              </w:rPr>
              <w:t>Delivery of software</w:t>
            </w:r>
          </w:p>
        </w:tc>
        <w:tc>
          <w:tcPr>
            <w:tcW w:w="3260" w:type="dxa"/>
            <w:tcBorders>
              <w:top w:val="dotted" w:sz="4" w:space="0" w:color="000000"/>
              <w:bottom w:val="dotted" w:sz="4" w:space="0" w:color="000000"/>
            </w:tcBorders>
          </w:tcPr>
          <w:p w14:paraId="64C0B41A" w14:textId="161CCF7D" w:rsidR="00733793" w:rsidRPr="00504990" w:rsidRDefault="00733793" w:rsidP="00890B73">
            <w:pPr>
              <w:spacing w:after="0" w:line="240" w:lineRule="auto"/>
              <w:rPr>
                <w:rFonts w:ascii="Verdana" w:hAnsi="Verdana"/>
                <w:sz w:val="20"/>
                <w:szCs w:val="20"/>
              </w:rPr>
            </w:pPr>
            <w:r>
              <w:rPr>
                <w:rFonts w:ascii="Verdana" w:hAnsi="Verdana"/>
                <w:sz w:val="20"/>
                <w:szCs w:val="20"/>
              </w:rPr>
              <w:t>14 May 2025</w:t>
            </w:r>
          </w:p>
        </w:tc>
        <w:tc>
          <w:tcPr>
            <w:tcW w:w="1950" w:type="dxa"/>
            <w:tcBorders>
              <w:top w:val="dotted" w:sz="4" w:space="0" w:color="000000"/>
              <w:bottom w:val="dotted" w:sz="4" w:space="0" w:color="000000"/>
              <w:right w:val="nil"/>
            </w:tcBorders>
          </w:tcPr>
          <w:p w14:paraId="4FCA3112" w14:textId="77777777" w:rsidR="00733793" w:rsidRPr="00504990" w:rsidRDefault="00733793" w:rsidP="00890B73">
            <w:pPr>
              <w:spacing w:after="0" w:line="240" w:lineRule="auto"/>
              <w:rPr>
                <w:rFonts w:ascii="Verdana" w:hAnsi="Verdana"/>
                <w:sz w:val="20"/>
                <w:szCs w:val="20"/>
              </w:rPr>
            </w:pPr>
          </w:p>
        </w:tc>
      </w:tr>
      <w:tr w:rsidR="00504990" w:rsidRPr="00504990" w14:paraId="54A70ECD" w14:textId="77777777" w:rsidTr="00145FA3">
        <w:tc>
          <w:tcPr>
            <w:tcW w:w="4395" w:type="dxa"/>
            <w:tcBorders>
              <w:top w:val="dotted" w:sz="4" w:space="0" w:color="000000"/>
              <w:left w:val="nil"/>
              <w:bottom w:val="single" w:sz="4" w:space="0" w:color="auto"/>
            </w:tcBorders>
          </w:tcPr>
          <w:p w14:paraId="1B2064D7" w14:textId="05C1D312" w:rsidR="00504990" w:rsidRPr="00504990" w:rsidRDefault="009248C2" w:rsidP="00890B73">
            <w:pPr>
              <w:spacing w:after="0" w:line="240" w:lineRule="auto"/>
              <w:rPr>
                <w:rFonts w:ascii="Verdana" w:hAnsi="Verdana"/>
                <w:sz w:val="20"/>
                <w:szCs w:val="20"/>
              </w:rPr>
            </w:pPr>
            <w:r>
              <w:rPr>
                <w:rFonts w:ascii="Verdana" w:hAnsi="Verdana"/>
                <w:sz w:val="20"/>
                <w:szCs w:val="20"/>
              </w:rPr>
              <w:t>Delivery of hardware</w:t>
            </w:r>
            <w:r w:rsidR="00504990" w:rsidRPr="00504990">
              <w:rPr>
                <w:rFonts w:ascii="Verdana" w:hAnsi="Verdana"/>
                <w:sz w:val="20"/>
                <w:szCs w:val="20"/>
              </w:rPr>
              <w:t xml:space="preserve"> (provisional)</w:t>
            </w:r>
          </w:p>
        </w:tc>
        <w:tc>
          <w:tcPr>
            <w:tcW w:w="3260" w:type="dxa"/>
            <w:tcBorders>
              <w:top w:val="dotted" w:sz="4" w:space="0" w:color="000000"/>
              <w:bottom w:val="single" w:sz="4" w:space="0" w:color="auto"/>
            </w:tcBorders>
          </w:tcPr>
          <w:p w14:paraId="44C941AE" w14:textId="19E4B26F" w:rsidR="00504990" w:rsidRPr="00504990" w:rsidRDefault="009248C2" w:rsidP="00890B73">
            <w:pPr>
              <w:spacing w:after="0" w:line="240" w:lineRule="auto"/>
              <w:rPr>
                <w:rFonts w:ascii="Verdana" w:hAnsi="Verdana"/>
                <w:sz w:val="20"/>
                <w:szCs w:val="20"/>
              </w:rPr>
            </w:pPr>
            <w:r>
              <w:rPr>
                <w:rFonts w:ascii="Verdana" w:hAnsi="Verdana"/>
                <w:sz w:val="20"/>
                <w:szCs w:val="20"/>
              </w:rPr>
              <w:t>1</w:t>
            </w:r>
            <w:r w:rsidR="00504990" w:rsidRPr="00504990">
              <w:rPr>
                <w:rFonts w:ascii="Verdana" w:hAnsi="Verdana"/>
                <w:sz w:val="20"/>
                <w:szCs w:val="20"/>
              </w:rPr>
              <w:t xml:space="preserve"> </w:t>
            </w:r>
            <w:r>
              <w:rPr>
                <w:rFonts w:ascii="Verdana" w:hAnsi="Verdana"/>
                <w:sz w:val="20"/>
                <w:szCs w:val="20"/>
              </w:rPr>
              <w:t>June</w:t>
            </w:r>
            <w:r w:rsidR="00733793" w:rsidRPr="00504990">
              <w:rPr>
                <w:rFonts w:ascii="Verdana" w:hAnsi="Verdana"/>
                <w:sz w:val="20"/>
                <w:szCs w:val="20"/>
              </w:rPr>
              <w:t xml:space="preserve"> 202</w:t>
            </w:r>
            <w:r w:rsidR="00733793">
              <w:rPr>
                <w:rFonts w:ascii="Verdana" w:hAnsi="Verdana"/>
                <w:sz w:val="20"/>
                <w:szCs w:val="20"/>
              </w:rPr>
              <w:t>5</w:t>
            </w:r>
          </w:p>
        </w:tc>
        <w:tc>
          <w:tcPr>
            <w:tcW w:w="1950" w:type="dxa"/>
            <w:tcBorders>
              <w:top w:val="dotted" w:sz="4" w:space="0" w:color="000000"/>
              <w:bottom w:val="single" w:sz="4" w:space="0" w:color="auto"/>
              <w:right w:val="nil"/>
            </w:tcBorders>
          </w:tcPr>
          <w:p w14:paraId="77E9852D" w14:textId="77777777" w:rsidR="00504990" w:rsidRPr="00504990" w:rsidRDefault="00504990" w:rsidP="00890B73">
            <w:pPr>
              <w:spacing w:after="0" w:line="240" w:lineRule="auto"/>
              <w:rPr>
                <w:rFonts w:ascii="Verdana" w:hAnsi="Verdana"/>
                <w:sz w:val="20"/>
                <w:szCs w:val="20"/>
              </w:rPr>
            </w:pPr>
          </w:p>
        </w:tc>
      </w:tr>
    </w:tbl>
    <w:bookmarkEnd w:id="5"/>
    <w:p w14:paraId="478F2B12" w14:textId="77777777" w:rsidR="00B06C79" w:rsidRPr="00504990" w:rsidRDefault="00B17598" w:rsidP="00085B24">
      <w:pPr>
        <w:spacing w:before="160" w:after="160" w:line="240" w:lineRule="auto"/>
        <w:jc w:val="both"/>
        <w:rPr>
          <w:rFonts w:ascii="Verdana" w:eastAsia="Verdana" w:hAnsi="Verdana" w:cs="Verdana"/>
          <w:b/>
          <w:sz w:val="20"/>
          <w:szCs w:val="20"/>
        </w:rPr>
      </w:pPr>
      <w:r w:rsidRPr="00504990">
        <w:rPr>
          <w:rFonts w:ascii="Verdana" w:eastAsia="Verdana" w:hAnsi="Verdana" w:cs="Verdana"/>
          <w:b/>
          <w:sz w:val="20"/>
          <w:szCs w:val="20"/>
        </w:rPr>
        <w:t>How to apply</w:t>
      </w:r>
    </w:p>
    <w:p w14:paraId="276C0BB6" w14:textId="75350B69" w:rsidR="00733793" w:rsidRPr="00733793" w:rsidRDefault="00733793" w:rsidP="00733793">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 xml:space="preserve">The deadline for submitting the proposal is </w:t>
      </w:r>
      <w:r>
        <w:rPr>
          <w:rFonts w:ascii="Verdana" w:eastAsia="Verdana" w:hAnsi="Verdana" w:cs="Verdana"/>
          <w:bCs/>
          <w:sz w:val="20"/>
          <w:szCs w:val="20"/>
          <w:lang w:val="en-US"/>
        </w:rPr>
        <w:t>April 18, 2025, 17.00</w:t>
      </w:r>
      <w:r w:rsidRPr="00733793">
        <w:rPr>
          <w:rFonts w:ascii="Verdana" w:eastAsia="Verdana" w:hAnsi="Verdana" w:cs="Verdana"/>
          <w:bCs/>
          <w:sz w:val="20"/>
          <w:szCs w:val="20"/>
          <w:lang w:val="en-US"/>
        </w:rPr>
        <w:t xml:space="preserve"> Kyiv time.</w:t>
      </w:r>
    </w:p>
    <w:p w14:paraId="728494A5" w14:textId="113C1BC0" w:rsidR="001A1810" w:rsidRDefault="001A1810" w:rsidP="00733793">
      <w:pPr>
        <w:spacing w:before="120" w:after="120" w:line="240" w:lineRule="auto"/>
        <w:jc w:val="both"/>
        <w:rPr>
          <w:rFonts w:ascii="Verdana" w:eastAsia="Verdana" w:hAnsi="Verdana" w:cs="Verdana"/>
          <w:bCs/>
          <w:sz w:val="20"/>
          <w:szCs w:val="20"/>
          <w:lang w:val="en-US"/>
        </w:rPr>
      </w:pPr>
      <w:r w:rsidRPr="001A1810">
        <w:rPr>
          <w:rFonts w:ascii="Verdana" w:eastAsia="Verdana" w:hAnsi="Verdana" w:cs="Verdana"/>
          <w:bCs/>
          <w:sz w:val="20"/>
          <w:szCs w:val="20"/>
        </w:rPr>
        <w:t xml:space="preserve">The financial bid shall be submitted in the format provided in </w:t>
      </w:r>
      <w:hyperlink w:anchor="_Annex_1._Format" w:history="1">
        <w:r w:rsidRPr="001A1810">
          <w:rPr>
            <w:rStyle w:val="Hyperlink"/>
            <w:rFonts w:ascii="Verdana" w:eastAsia="Verdana" w:hAnsi="Verdana" w:cs="Verdana"/>
            <w:bCs/>
            <w:sz w:val="20"/>
            <w:szCs w:val="20"/>
          </w:rPr>
          <w:t>Annex 1</w:t>
        </w:r>
      </w:hyperlink>
      <w:r w:rsidRPr="001A1810">
        <w:rPr>
          <w:rFonts w:ascii="Verdana" w:eastAsia="Verdana" w:hAnsi="Verdana" w:cs="Verdana"/>
          <w:bCs/>
          <w:sz w:val="20"/>
          <w:szCs w:val="20"/>
        </w:rPr>
        <w:t>.</w:t>
      </w:r>
    </w:p>
    <w:p w14:paraId="025AC844" w14:textId="77777777" w:rsidR="001A1810" w:rsidRPr="001A1810" w:rsidRDefault="001A1810" w:rsidP="001A1810">
      <w:pPr>
        <w:spacing w:before="120" w:after="120" w:line="240" w:lineRule="auto"/>
        <w:jc w:val="both"/>
        <w:rPr>
          <w:rFonts w:ascii="Verdana" w:eastAsia="Verdana" w:hAnsi="Verdana" w:cs="Verdana"/>
          <w:bCs/>
          <w:sz w:val="20"/>
          <w:szCs w:val="20"/>
        </w:rPr>
      </w:pPr>
      <w:r w:rsidRPr="001A1810">
        <w:rPr>
          <w:rFonts w:ascii="Verdana" w:eastAsia="Verdana" w:hAnsi="Verdana" w:cs="Verdana"/>
          <w:bCs/>
          <w:sz w:val="20"/>
          <w:szCs w:val="20"/>
        </w:rPr>
        <w:t>Prices must be quoted in EUR, including costs of delivery to the place of destination, all duties and taxes applicable, and excluding VAT. The EUACI has a VAT exemption as an international technical assistance program.</w:t>
      </w:r>
    </w:p>
    <w:p w14:paraId="6FC183C9" w14:textId="1DB73208" w:rsidR="001A1810" w:rsidRPr="001A1810" w:rsidRDefault="001A1810" w:rsidP="001A1810">
      <w:pPr>
        <w:spacing w:before="120" w:after="120" w:line="240" w:lineRule="auto"/>
        <w:jc w:val="both"/>
        <w:rPr>
          <w:rFonts w:ascii="Verdana" w:eastAsia="Verdana" w:hAnsi="Verdana" w:cs="Verdana"/>
          <w:bCs/>
          <w:sz w:val="20"/>
          <w:szCs w:val="20"/>
        </w:rPr>
      </w:pPr>
      <w:r w:rsidRPr="001A1810">
        <w:rPr>
          <w:rFonts w:ascii="Verdana" w:eastAsia="Verdana" w:hAnsi="Verdana" w:cs="Verdana"/>
          <w:bCs/>
          <w:sz w:val="20"/>
          <w:szCs w:val="20"/>
        </w:rPr>
        <w:t xml:space="preserve">The EUACI Procurement Plan and Registration Card are available on the </w:t>
      </w:r>
      <w:hyperlink r:id="rId9" w:history="1">
        <w:r w:rsidRPr="001A1810">
          <w:rPr>
            <w:rStyle w:val="Hyperlink"/>
            <w:rFonts w:ascii="Verdana" w:eastAsia="Verdana" w:hAnsi="Verdana" w:cs="Verdana"/>
            <w:bCs/>
            <w:sz w:val="20"/>
            <w:szCs w:val="20"/>
          </w:rPr>
          <w:t>official website of the Cabinet of Ministers of Ukraine</w:t>
        </w:r>
      </w:hyperlink>
      <w:r w:rsidRPr="001A1810">
        <w:rPr>
          <w:rFonts w:ascii="Verdana" w:eastAsia="Verdana" w:hAnsi="Verdana" w:cs="Verdana"/>
          <w:bCs/>
          <w:sz w:val="20"/>
          <w:szCs w:val="20"/>
        </w:rPr>
        <w:t>.</w:t>
      </w:r>
    </w:p>
    <w:p w14:paraId="26547568" w14:textId="61EBF299" w:rsidR="00733793" w:rsidRPr="00733793" w:rsidRDefault="00733793" w:rsidP="00733793">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 xml:space="preserve">The proposal shall include the aforementioned information and should be submitted within the above deadline to </w:t>
      </w:r>
      <w:bookmarkStart w:id="6" w:name="_Hlk194592122"/>
      <w:r w:rsidRPr="00504990">
        <w:rPr>
          <w:rFonts w:ascii="Verdana" w:eastAsia="Verdana" w:hAnsi="Verdana" w:cs="Verdana"/>
          <w:bCs/>
          <w:sz w:val="20"/>
          <w:szCs w:val="20"/>
        </w:rPr>
        <w:fldChar w:fldCharType="begin"/>
      </w:r>
      <w:r w:rsidRPr="00504990">
        <w:rPr>
          <w:rFonts w:ascii="Verdana" w:eastAsia="Verdana" w:hAnsi="Verdana" w:cs="Verdana"/>
          <w:bCs/>
          <w:sz w:val="20"/>
          <w:szCs w:val="20"/>
        </w:rPr>
        <w:instrText xml:space="preserve"> HYPERLINK "mailto:serkon@um.dk" </w:instrText>
      </w:r>
      <w:r w:rsidRPr="00504990">
        <w:rPr>
          <w:rFonts w:ascii="Verdana" w:eastAsia="Verdana" w:hAnsi="Verdana" w:cs="Verdana"/>
          <w:bCs/>
          <w:sz w:val="20"/>
          <w:szCs w:val="20"/>
        </w:rPr>
      </w:r>
      <w:r w:rsidRPr="00504990">
        <w:rPr>
          <w:rFonts w:ascii="Verdana" w:eastAsia="Verdana" w:hAnsi="Verdana" w:cs="Verdana"/>
          <w:bCs/>
          <w:sz w:val="20"/>
          <w:szCs w:val="20"/>
        </w:rPr>
        <w:fldChar w:fldCharType="separate"/>
      </w:r>
      <w:r w:rsidRPr="00504990">
        <w:rPr>
          <w:rStyle w:val="Hyperlink"/>
          <w:rFonts w:ascii="Verdana" w:eastAsia="Verdana" w:hAnsi="Verdana" w:cs="Verdana"/>
          <w:bCs/>
          <w:sz w:val="20"/>
          <w:szCs w:val="20"/>
        </w:rPr>
        <w:t>serkon@um.dk</w:t>
      </w:r>
      <w:r w:rsidRPr="00504990">
        <w:rPr>
          <w:rFonts w:ascii="Verdana" w:eastAsia="Verdana" w:hAnsi="Verdana" w:cs="Verdana"/>
          <w:bCs/>
          <w:sz w:val="20"/>
          <w:szCs w:val="20"/>
        </w:rPr>
        <w:fldChar w:fldCharType="end"/>
      </w:r>
      <w:bookmarkEnd w:id="6"/>
      <w:r w:rsidRPr="00504990">
        <w:rPr>
          <w:rFonts w:ascii="Verdana" w:eastAsia="Verdana" w:hAnsi="Verdana" w:cs="Verdana"/>
          <w:bCs/>
          <w:sz w:val="20"/>
          <w:szCs w:val="20"/>
        </w:rPr>
        <w:t xml:space="preserve"> cc to </w:t>
      </w:r>
      <w:hyperlink r:id="rId10" w:history="1">
        <w:r w:rsidRPr="00504990">
          <w:rPr>
            <w:rStyle w:val="Hyperlink"/>
            <w:rFonts w:ascii="Verdana" w:eastAsia="Verdana" w:hAnsi="Verdana" w:cs="Verdana"/>
            <w:bCs/>
            <w:sz w:val="20"/>
            <w:szCs w:val="20"/>
          </w:rPr>
          <w:t>EUACI@um.dk</w:t>
        </w:r>
      </w:hyperlink>
      <w:r w:rsidRPr="00733793">
        <w:rPr>
          <w:rFonts w:ascii="Verdana" w:eastAsia="Verdana" w:hAnsi="Verdana" w:cs="Verdana"/>
          <w:bCs/>
          <w:sz w:val="20"/>
          <w:szCs w:val="20"/>
          <w:lang w:val="en-US"/>
        </w:rPr>
        <w:t xml:space="preserve"> indicating the subject line: </w:t>
      </w:r>
      <w:r w:rsidRPr="00733793">
        <w:rPr>
          <w:rFonts w:ascii="Verdana" w:eastAsia="Verdana" w:hAnsi="Verdana" w:cs="Verdana"/>
          <w:bCs/>
          <w:sz w:val="20"/>
          <w:szCs w:val="20"/>
        </w:rPr>
        <w:t>“HACC Information Security and Data Protection”</w:t>
      </w:r>
      <w:r w:rsidRPr="00733793">
        <w:rPr>
          <w:rFonts w:ascii="Verdana" w:eastAsia="Verdana" w:hAnsi="Verdana" w:cs="Verdana"/>
          <w:bCs/>
          <w:sz w:val="20"/>
          <w:szCs w:val="20"/>
          <w:lang w:val="en-US"/>
        </w:rPr>
        <w:t xml:space="preserve">. </w:t>
      </w:r>
    </w:p>
    <w:p w14:paraId="1128EF93" w14:textId="77777777" w:rsidR="00733793" w:rsidRPr="00733793" w:rsidRDefault="00733793" w:rsidP="00733793">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 xml:space="preserve">You will receive an auto-reply from the </w:t>
      </w:r>
      <w:hyperlink r:id="rId11" w:history="1">
        <w:r w:rsidRPr="00733793">
          <w:rPr>
            <w:rStyle w:val="Hyperlink"/>
            <w:rFonts w:ascii="Verdana" w:eastAsia="Verdana" w:hAnsi="Verdana" w:cs="Verdana"/>
            <w:bCs/>
            <w:sz w:val="20"/>
            <w:szCs w:val="20"/>
            <w:lang w:val="en-US"/>
          </w:rPr>
          <w:t>EUACI@um.dk</w:t>
        </w:r>
      </w:hyperlink>
      <w:r w:rsidRPr="00733793">
        <w:rPr>
          <w:rFonts w:ascii="Verdana" w:eastAsia="Verdana" w:hAnsi="Verdana" w:cs="Verdana"/>
          <w:bCs/>
          <w:sz w:val="20"/>
          <w:szCs w:val="20"/>
          <w:lang w:val="en-US"/>
        </w:rPr>
        <w:t xml:space="preserve"> mailbox when the offer has been received. If you do not receive an auto-reply, your offer was not received and you should contact the EUACI by phone.</w:t>
      </w:r>
    </w:p>
    <w:p w14:paraId="6A7B973E" w14:textId="77777777" w:rsidR="00733793" w:rsidRPr="00733793" w:rsidRDefault="00733793" w:rsidP="00733793">
      <w:pPr>
        <w:spacing w:before="120" w:after="120" w:line="240" w:lineRule="auto"/>
        <w:jc w:val="both"/>
        <w:rPr>
          <w:rFonts w:ascii="Verdana" w:eastAsia="Verdana" w:hAnsi="Verdana" w:cs="Verdana"/>
          <w:bCs/>
          <w:sz w:val="20"/>
          <w:szCs w:val="20"/>
          <w:lang w:val="en-US"/>
        </w:rPr>
      </w:pPr>
      <w:r w:rsidRPr="00733793">
        <w:rPr>
          <w:rFonts w:ascii="Verdana" w:eastAsia="Verdana" w:hAnsi="Verdana" w:cs="Verdana"/>
          <w:bCs/>
          <w:sz w:val="20"/>
          <w:szCs w:val="20"/>
          <w:lang w:val="en-US"/>
        </w:rPr>
        <w:t>Bidding language: English.</w:t>
      </w:r>
    </w:p>
    <w:p w14:paraId="062FA7D3" w14:textId="03FDFF58" w:rsidR="00733793" w:rsidRDefault="00733793" w:rsidP="00733793">
      <w:pPr>
        <w:spacing w:before="120" w:after="120" w:line="240" w:lineRule="auto"/>
        <w:jc w:val="both"/>
        <w:rPr>
          <w:rFonts w:ascii="Verdana" w:eastAsia="Verdana" w:hAnsi="Verdana" w:cs="Verdana"/>
          <w:bCs/>
          <w:sz w:val="20"/>
          <w:szCs w:val="20"/>
        </w:rPr>
      </w:pPr>
      <w:r w:rsidRPr="00733793">
        <w:rPr>
          <w:rFonts w:ascii="Verdana" w:eastAsia="Verdana" w:hAnsi="Verdana" w:cs="Verdana"/>
          <w:bCs/>
          <w:sz w:val="20"/>
          <w:szCs w:val="20"/>
          <w:lang w:val="en-US"/>
        </w:rPr>
        <w:t xml:space="preserve">Any clarification questions regarding the terms of reference should be addressed to </w:t>
      </w:r>
      <w:hyperlink r:id="rId12" w:history="1">
        <w:r w:rsidR="002C638C" w:rsidRPr="002C638C">
          <w:rPr>
            <w:rStyle w:val="Hyperlink"/>
            <w:rFonts w:ascii="Verdana" w:eastAsia="Verdana" w:hAnsi="Verdana" w:cs="Verdana"/>
            <w:bCs/>
            <w:sz w:val="20"/>
            <w:szCs w:val="20"/>
          </w:rPr>
          <w:t>serkon@um.dk</w:t>
        </w:r>
      </w:hyperlink>
      <w:r w:rsidRPr="00733793">
        <w:rPr>
          <w:rFonts w:ascii="Verdana" w:eastAsia="Verdana" w:hAnsi="Verdana" w:cs="Verdana"/>
          <w:bCs/>
          <w:sz w:val="20"/>
          <w:szCs w:val="20"/>
          <w:lang w:val="en-US"/>
        </w:rPr>
        <w:t xml:space="preserve">, not later than </w:t>
      </w:r>
      <w:r w:rsidR="002C638C">
        <w:rPr>
          <w:rFonts w:ascii="Verdana" w:eastAsia="Verdana" w:hAnsi="Verdana" w:cs="Verdana"/>
          <w:bCs/>
          <w:sz w:val="20"/>
          <w:szCs w:val="20"/>
          <w:lang w:val="en-US"/>
        </w:rPr>
        <w:t>April 11, 2025</w:t>
      </w:r>
      <w:r w:rsidRPr="00733793">
        <w:rPr>
          <w:rFonts w:ascii="Verdana" w:eastAsia="Verdana" w:hAnsi="Verdana" w:cs="Verdana"/>
          <w:bCs/>
          <w:sz w:val="20"/>
          <w:szCs w:val="20"/>
          <w:lang w:val="en-US"/>
        </w:rPr>
        <w:t xml:space="preserve">, </w:t>
      </w:r>
      <w:r w:rsidR="002C638C">
        <w:rPr>
          <w:rFonts w:ascii="Verdana" w:eastAsia="Verdana" w:hAnsi="Verdana" w:cs="Verdana"/>
          <w:bCs/>
          <w:sz w:val="20"/>
          <w:szCs w:val="20"/>
          <w:lang w:val="en-US"/>
        </w:rPr>
        <w:t>17.00</w:t>
      </w:r>
      <w:r w:rsidRPr="00733793">
        <w:rPr>
          <w:rFonts w:ascii="Verdana" w:eastAsia="Verdana" w:hAnsi="Verdana" w:cs="Verdana"/>
          <w:bCs/>
          <w:sz w:val="20"/>
          <w:szCs w:val="20"/>
          <w:lang w:val="en-US"/>
        </w:rPr>
        <w:t xml:space="preserve"> time.</w:t>
      </w:r>
    </w:p>
    <w:p w14:paraId="32E9D731" w14:textId="760953E0" w:rsidR="00733793" w:rsidRDefault="00733793" w:rsidP="00085B24">
      <w:pPr>
        <w:spacing w:before="160" w:after="160" w:line="240" w:lineRule="auto"/>
        <w:jc w:val="both"/>
        <w:rPr>
          <w:rFonts w:ascii="Verdana" w:eastAsia="Verdana" w:hAnsi="Verdana" w:cs="Verdana"/>
          <w:bCs/>
          <w:sz w:val="20"/>
          <w:szCs w:val="20"/>
        </w:rPr>
      </w:pPr>
      <w:r w:rsidRPr="00733793">
        <w:rPr>
          <w:rFonts w:ascii="Verdana" w:eastAsia="Verdana" w:hAnsi="Verdana" w:cs="Verdana"/>
          <w:b/>
          <w:bCs/>
          <w:sz w:val="20"/>
          <w:szCs w:val="20"/>
          <w:lang w:val="en-US"/>
        </w:rPr>
        <w:t>Evaluation criteria</w:t>
      </w:r>
    </w:p>
    <w:p w14:paraId="5747733F" w14:textId="310E10EB" w:rsidR="009248C2" w:rsidRPr="009248C2" w:rsidRDefault="009248C2" w:rsidP="009248C2">
      <w:pPr>
        <w:spacing w:before="120" w:after="120" w:line="240" w:lineRule="auto"/>
        <w:jc w:val="both"/>
        <w:rPr>
          <w:rFonts w:ascii="Verdana" w:eastAsia="Verdana" w:hAnsi="Verdana" w:cs="Verdana"/>
          <w:bCs/>
          <w:sz w:val="20"/>
          <w:szCs w:val="20"/>
        </w:rPr>
      </w:pPr>
      <w:r w:rsidRPr="009248C2">
        <w:rPr>
          <w:rFonts w:ascii="Verdana" w:eastAsia="Verdana" w:hAnsi="Verdana" w:cs="Verdana"/>
          <w:bCs/>
          <w:sz w:val="20"/>
          <w:szCs w:val="20"/>
        </w:rPr>
        <w:t xml:space="preserve">The main </w:t>
      </w:r>
      <w:r>
        <w:rPr>
          <w:rFonts w:ascii="Verdana" w:eastAsia="Verdana" w:hAnsi="Verdana" w:cs="Verdana"/>
          <w:bCs/>
          <w:sz w:val="20"/>
          <w:szCs w:val="20"/>
        </w:rPr>
        <w:t>evaluation</w:t>
      </w:r>
      <w:r w:rsidRPr="009248C2">
        <w:rPr>
          <w:rFonts w:ascii="Verdana" w:eastAsia="Verdana" w:hAnsi="Verdana" w:cs="Verdana"/>
          <w:bCs/>
          <w:sz w:val="20"/>
          <w:szCs w:val="20"/>
        </w:rPr>
        <w:t xml:space="preserve"> criteri</w:t>
      </w:r>
      <w:r>
        <w:rPr>
          <w:rFonts w:ascii="Verdana" w:eastAsia="Verdana" w:hAnsi="Verdana" w:cs="Verdana"/>
          <w:bCs/>
          <w:sz w:val="20"/>
          <w:szCs w:val="20"/>
        </w:rPr>
        <w:t xml:space="preserve">a </w:t>
      </w:r>
      <w:proofErr w:type="gramStart"/>
      <w:r>
        <w:rPr>
          <w:rFonts w:ascii="Verdana" w:eastAsia="Verdana" w:hAnsi="Verdana" w:cs="Verdana"/>
          <w:bCs/>
          <w:sz w:val="20"/>
          <w:szCs w:val="20"/>
        </w:rPr>
        <w:t>is</w:t>
      </w:r>
      <w:proofErr w:type="gramEnd"/>
      <w:r w:rsidRPr="009248C2">
        <w:rPr>
          <w:rFonts w:ascii="Verdana" w:eastAsia="Verdana" w:hAnsi="Verdana" w:cs="Verdana"/>
          <w:bCs/>
          <w:sz w:val="20"/>
          <w:szCs w:val="20"/>
        </w:rPr>
        <w:t xml:space="preserve"> the best price.</w:t>
      </w:r>
    </w:p>
    <w:p w14:paraId="2945F91A" w14:textId="77777777" w:rsidR="00B05289" w:rsidRDefault="00B05289">
      <w:pPr>
        <w:rPr>
          <w:rFonts w:ascii="Verdana" w:eastAsia="Verdana" w:hAnsi="Verdana" w:cs="Verdana"/>
          <w:b/>
          <w:color w:val="000000" w:themeColor="text1"/>
          <w:sz w:val="20"/>
          <w:szCs w:val="20"/>
        </w:rPr>
      </w:pPr>
      <w:bookmarkStart w:id="7" w:name="_Annex_1._Technical"/>
      <w:bookmarkStart w:id="8" w:name="_Annex_1._Format"/>
      <w:bookmarkEnd w:id="7"/>
      <w:bookmarkEnd w:id="8"/>
      <w:r>
        <w:rPr>
          <w:rFonts w:ascii="Verdana" w:eastAsia="Verdana" w:hAnsi="Verdana" w:cs="Verdana"/>
          <w:color w:val="000000" w:themeColor="text1"/>
          <w:sz w:val="20"/>
          <w:szCs w:val="20"/>
        </w:rPr>
        <w:br w:type="page"/>
      </w:r>
    </w:p>
    <w:p w14:paraId="0F1976C1" w14:textId="0C0A8D12" w:rsidR="00BD5422" w:rsidRPr="00504990" w:rsidRDefault="00605C87" w:rsidP="007C077A">
      <w:pPr>
        <w:pStyle w:val="Heading1"/>
        <w:spacing w:before="240" w:after="240" w:line="240" w:lineRule="auto"/>
        <w:rPr>
          <w:rFonts w:ascii="Verdana" w:hAnsi="Verdana"/>
          <w:color w:val="000000" w:themeColor="text1"/>
          <w:sz w:val="20"/>
          <w:szCs w:val="20"/>
        </w:rPr>
      </w:pPr>
      <w:r w:rsidRPr="00504990">
        <w:rPr>
          <w:rFonts w:ascii="Verdana" w:eastAsia="Verdana" w:hAnsi="Verdana" w:cs="Verdana"/>
          <w:color w:val="000000" w:themeColor="text1"/>
          <w:sz w:val="20"/>
          <w:szCs w:val="20"/>
        </w:rPr>
        <w:lastRenderedPageBreak/>
        <w:t>A</w:t>
      </w:r>
      <w:bookmarkStart w:id="9" w:name="_Hlk135932754"/>
      <w:r w:rsidRPr="00504990">
        <w:rPr>
          <w:rFonts w:ascii="Verdana" w:eastAsia="Verdana" w:hAnsi="Verdana" w:cs="Verdana"/>
          <w:color w:val="000000" w:themeColor="text1"/>
          <w:sz w:val="20"/>
          <w:szCs w:val="20"/>
        </w:rPr>
        <w:t xml:space="preserve">nnex 1. </w:t>
      </w:r>
      <w:r w:rsidR="00AA7AAF" w:rsidRPr="00504990">
        <w:rPr>
          <w:rFonts w:ascii="Verdana" w:hAnsi="Verdana"/>
          <w:color w:val="000000" w:themeColor="text1"/>
          <w:sz w:val="20"/>
          <w:szCs w:val="20"/>
        </w:rPr>
        <w:t xml:space="preserve">Format for the </w:t>
      </w:r>
      <w:r w:rsidR="0032459F">
        <w:rPr>
          <w:rFonts w:ascii="Verdana" w:hAnsi="Verdana"/>
          <w:color w:val="000000" w:themeColor="text1"/>
          <w:sz w:val="20"/>
          <w:szCs w:val="20"/>
        </w:rPr>
        <w:t>F</w:t>
      </w:r>
      <w:r w:rsidR="00AA7AAF" w:rsidRPr="00504990">
        <w:rPr>
          <w:rFonts w:ascii="Verdana" w:hAnsi="Verdana"/>
          <w:color w:val="000000" w:themeColor="text1"/>
          <w:sz w:val="20"/>
          <w:szCs w:val="20"/>
        </w:rPr>
        <w:t xml:space="preserve">inancial </w:t>
      </w:r>
      <w:r w:rsidR="0032459F">
        <w:rPr>
          <w:rFonts w:ascii="Verdana" w:hAnsi="Verdana"/>
          <w:color w:val="000000" w:themeColor="text1"/>
          <w:sz w:val="20"/>
          <w:szCs w:val="20"/>
        </w:rPr>
        <w:t>B</w:t>
      </w:r>
      <w:r w:rsidR="00AA7AAF" w:rsidRPr="00504990">
        <w:rPr>
          <w:rFonts w:ascii="Verdana" w:hAnsi="Verdana"/>
          <w:color w:val="000000" w:themeColor="text1"/>
          <w:sz w:val="20"/>
          <w:szCs w:val="20"/>
        </w:rPr>
        <w:t>id</w:t>
      </w:r>
      <w:r w:rsidR="00AA7AAF" w:rsidRPr="00504990">
        <w:rPr>
          <w:rFonts w:ascii="Verdana" w:eastAsia="Verdana" w:hAnsi="Verdana" w:cs="Verdana"/>
          <w:color w:val="000000" w:themeColor="text1"/>
          <w:sz w:val="20"/>
          <w:szCs w:val="20"/>
        </w:rPr>
        <w:t xml:space="preserve"> </w:t>
      </w:r>
      <w:bookmarkEnd w:id="9"/>
    </w:p>
    <w:tbl>
      <w:tblPr>
        <w:tblW w:w="9925"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5244"/>
        <w:gridCol w:w="709"/>
        <w:gridCol w:w="1701"/>
        <w:gridCol w:w="1704"/>
      </w:tblGrid>
      <w:tr w:rsidR="00474428" w:rsidRPr="00504990" w14:paraId="1620CCA7" w14:textId="77777777" w:rsidTr="00AF5576">
        <w:tc>
          <w:tcPr>
            <w:tcW w:w="567" w:type="dxa"/>
            <w:tcBorders>
              <w:top w:val="single" w:sz="8" w:space="0" w:color="000000"/>
              <w:left w:val="nil"/>
              <w:bottom w:val="single" w:sz="4" w:space="0" w:color="000000"/>
              <w:right w:val="single" w:sz="4" w:space="0" w:color="000000"/>
            </w:tcBorders>
            <w:shd w:val="clear" w:color="auto" w:fill="C6D9F1" w:themeFill="text2" w:themeFillTint="33"/>
            <w:hideMark/>
          </w:tcPr>
          <w:p w14:paraId="5EED9065" w14:textId="77777777" w:rsidR="00BD5422" w:rsidRPr="00504990" w:rsidRDefault="00BD5422" w:rsidP="00761180">
            <w:pPr>
              <w:spacing w:after="0"/>
              <w:jc w:val="center"/>
              <w:rPr>
                <w:rFonts w:ascii="Verdana" w:hAnsi="Verdana"/>
                <w:b/>
                <w:color w:val="000000" w:themeColor="text1"/>
                <w:sz w:val="20"/>
                <w:szCs w:val="20"/>
              </w:rPr>
            </w:pPr>
            <w:bookmarkStart w:id="10" w:name="_Hlk194594429"/>
            <w:r w:rsidRPr="00504990">
              <w:rPr>
                <w:rFonts w:ascii="Verdana" w:hAnsi="Verdana"/>
                <w:b/>
                <w:color w:val="000000" w:themeColor="text1"/>
                <w:sz w:val="20"/>
                <w:szCs w:val="20"/>
              </w:rPr>
              <w:t>#</w:t>
            </w:r>
          </w:p>
        </w:tc>
        <w:tc>
          <w:tcPr>
            <w:tcW w:w="5244"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5AC95B11" w14:textId="77777777" w:rsidR="00BD5422" w:rsidRPr="00504990" w:rsidRDefault="00BD5422" w:rsidP="00AF5576">
            <w:pPr>
              <w:spacing w:after="0"/>
              <w:jc w:val="center"/>
              <w:rPr>
                <w:rFonts w:ascii="Verdana" w:hAnsi="Verdana"/>
                <w:b/>
                <w:color w:val="000000" w:themeColor="text1"/>
                <w:sz w:val="20"/>
                <w:szCs w:val="20"/>
              </w:rPr>
            </w:pPr>
            <w:r w:rsidRPr="00504990">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79B775FC" w14:textId="77777777" w:rsidR="00BD5422" w:rsidRPr="00504990" w:rsidRDefault="00BD5422">
            <w:pPr>
              <w:spacing w:after="0"/>
              <w:rPr>
                <w:rFonts w:ascii="Verdana" w:hAnsi="Verdana"/>
                <w:b/>
                <w:color w:val="000000" w:themeColor="text1"/>
                <w:sz w:val="20"/>
                <w:szCs w:val="20"/>
              </w:rPr>
            </w:pPr>
            <w:r w:rsidRPr="00504990">
              <w:rPr>
                <w:rFonts w:ascii="Verdana" w:hAnsi="Verdana"/>
                <w:b/>
                <w:color w:val="000000" w:themeColor="text1"/>
                <w:sz w:val="20"/>
                <w:szCs w:val="20"/>
              </w:rPr>
              <w:t>Qty</w:t>
            </w:r>
          </w:p>
        </w:tc>
        <w:tc>
          <w:tcPr>
            <w:tcW w:w="1701" w:type="dxa"/>
            <w:tcBorders>
              <w:top w:val="single" w:sz="8" w:space="0" w:color="000000"/>
              <w:left w:val="single" w:sz="4" w:space="0" w:color="000000"/>
              <w:bottom w:val="single" w:sz="4" w:space="0" w:color="000000"/>
              <w:right w:val="nil"/>
            </w:tcBorders>
            <w:shd w:val="clear" w:color="auto" w:fill="C6D9F1" w:themeFill="text2" w:themeFillTint="33"/>
            <w:hideMark/>
          </w:tcPr>
          <w:p w14:paraId="53D2C1AB" w14:textId="3F259AD2" w:rsidR="00BD5422" w:rsidRPr="00504990" w:rsidRDefault="00BD5422" w:rsidP="004E597E">
            <w:pPr>
              <w:spacing w:after="0"/>
              <w:rPr>
                <w:rFonts w:ascii="Verdana" w:hAnsi="Verdana"/>
                <w:b/>
                <w:color w:val="000000" w:themeColor="text1"/>
                <w:sz w:val="20"/>
                <w:szCs w:val="20"/>
              </w:rPr>
            </w:pPr>
            <w:r w:rsidRPr="00504990">
              <w:rPr>
                <w:rFonts w:ascii="Verdana" w:hAnsi="Verdana"/>
                <w:b/>
                <w:color w:val="000000" w:themeColor="text1"/>
                <w:sz w:val="20"/>
                <w:szCs w:val="20"/>
              </w:rPr>
              <w:t>Rate per unit, EUR</w:t>
            </w:r>
            <w:r w:rsidR="004E597E">
              <w:rPr>
                <w:rFonts w:ascii="Verdana" w:hAnsi="Verdana"/>
                <w:b/>
                <w:color w:val="000000" w:themeColor="text1"/>
                <w:sz w:val="20"/>
                <w:szCs w:val="20"/>
              </w:rPr>
              <w:t xml:space="preserve"> </w:t>
            </w:r>
            <w:r w:rsidRPr="00504990">
              <w:rPr>
                <w:rFonts w:ascii="Verdana" w:hAnsi="Verdana"/>
                <w:b/>
                <w:color w:val="000000" w:themeColor="text1"/>
                <w:sz w:val="20"/>
                <w:szCs w:val="20"/>
              </w:rPr>
              <w:t>(excl. VAT)</w:t>
            </w:r>
          </w:p>
        </w:tc>
        <w:tc>
          <w:tcPr>
            <w:tcW w:w="1704" w:type="dxa"/>
            <w:tcBorders>
              <w:top w:val="single" w:sz="8" w:space="0" w:color="000000"/>
              <w:left w:val="single" w:sz="4" w:space="0" w:color="000000"/>
              <w:bottom w:val="single" w:sz="4" w:space="0" w:color="000000"/>
              <w:right w:val="nil"/>
            </w:tcBorders>
            <w:shd w:val="clear" w:color="auto" w:fill="C6D9F1" w:themeFill="text2" w:themeFillTint="33"/>
            <w:hideMark/>
          </w:tcPr>
          <w:p w14:paraId="575C972F" w14:textId="77777777" w:rsidR="00BD5422" w:rsidRPr="00504990" w:rsidRDefault="00BD5422">
            <w:pPr>
              <w:spacing w:after="0"/>
              <w:rPr>
                <w:rFonts w:ascii="Verdana" w:hAnsi="Verdana"/>
                <w:b/>
                <w:color w:val="000000" w:themeColor="text1"/>
                <w:sz w:val="20"/>
                <w:szCs w:val="20"/>
              </w:rPr>
            </w:pPr>
            <w:r w:rsidRPr="00504990">
              <w:rPr>
                <w:rFonts w:ascii="Verdana" w:hAnsi="Verdana"/>
                <w:b/>
                <w:color w:val="000000" w:themeColor="text1"/>
                <w:sz w:val="20"/>
                <w:szCs w:val="20"/>
              </w:rPr>
              <w:t>Total amount, EUR (excl. VAT)</w:t>
            </w:r>
          </w:p>
        </w:tc>
      </w:tr>
      <w:tr w:rsidR="00B9264D" w:rsidRPr="00504990" w14:paraId="594D805B" w14:textId="77777777" w:rsidTr="00AF5576">
        <w:tc>
          <w:tcPr>
            <w:tcW w:w="567" w:type="dxa"/>
            <w:tcBorders>
              <w:top w:val="dotted" w:sz="4" w:space="0" w:color="000000"/>
              <w:left w:val="nil"/>
              <w:bottom w:val="dotted" w:sz="4" w:space="0" w:color="000000"/>
              <w:right w:val="single" w:sz="4" w:space="0" w:color="000000"/>
            </w:tcBorders>
            <w:hideMark/>
          </w:tcPr>
          <w:p w14:paraId="0357EFB3" w14:textId="77777777" w:rsidR="00B9264D" w:rsidRPr="00504990" w:rsidRDefault="00B9264D" w:rsidP="00B9264D">
            <w:pPr>
              <w:spacing w:after="100" w:afterAutospacing="1"/>
              <w:rPr>
                <w:rFonts w:ascii="Verdana" w:hAnsi="Verdana"/>
                <w:sz w:val="20"/>
                <w:szCs w:val="20"/>
              </w:rPr>
            </w:pPr>
            <w:r w:rsidRPr="00504990">
              <w:rPr>
                <w:rFonts w:ascii="Verdana" w:hAnsi="Verdana"/>
                <w:sz w:val="20"/>
                <w:szCs w:val="20"/>
              </w:rPr>
              <w:t>1</w:t>
            </w:r>
          </w:p>
        </w:tc>
        <w:tc>
          <w:tcPr>
            <w:tcW w:w="5244" w:type="dxa"/>
            <w:tcBorders>
              <w:top w:val="dotted" w:sz="4" w:space="0" w:color="000000"/>
              <w:left w:val="single" w:sz="4" w:space="0" w:color="000000"/>
              <w:bottom w:val="dotted" w:sz="4" w:space="0" w:color="000000"/>
              <w:right w:val="single" w:sz="4" w:space="0" w:color="000000"/>
            </w:tcBorders>
            <w:hideMark/>
          </w:tcPr>
          <w:p w14:paraId="5F934F03" w14:textId="24959E45" w:rsidR="00B9264D" w:rsidRPr="00504990" w:rsidRDefault="004E597E" w:rsidP="00085B24">
            <w:pPr>
              <w:spacing w:after="0" w:line="240" w:lineRule="auto"/>
              <w:rPr>
                <w:rFonts w:ascii="Verdana" w:hAnsi="Verdana"/>
                <w:sz w:val="20"/>
                <w:szCs w:val="20"/>
              </w:rPr>
            </w:pPr>
            <w:r w:rsidRPr="004E597E">
              <w:rPr>
                <w:rFonts w:ascii="Verdana" w:hAnsi="Verdana"/>
                <w:sz w:val="20"/>
                <w:szCs w:val="20"/>
              </w:rPr>
              <w:t xml:space="preserve">FortiGate-200E 1 Year Unified Threat Protection (UTP) (IPS, Advanced Malware Protection, Application Control, URL, DNS &amp; Video Filtering, Antispam Service, and </w:t>
            </w:r>
            <w:proofErr w:type="spellStart"/>
            <w:r w:rsidRPr="004E597E">
              <w:rPr>
                <w:rFonts w:ascii="Verdana" w:hAnsi="Verdana"/>
                <w:sz w:val="20"/>
                <w:szCs w:val="20"/>
              </w:rPr>
              <w:t>FortiCare</w:t>
            </w:r>
            <w:proofErr w:type="spellEnd"/>
            <w:r w:rsidRPr="004E597E">
              <w:rPr>
                <w:rFonts w:ascii="Verdana" w:hAnsi="Verdana"/>
                <w:sz w:val="20"/>
                <w:szCs w:val="20"/>
              </w:rPr>
              <w:t xml:space="preserve"> Premium)</w:t>
            </w:r>
          </w:p>
        </w:tc>
        <w:tc>
          <w:tcPr>
            <w:tcW w:w="709" w:type="dxa"/>
            <w:tcBorders>
              <w:top w:val="dotted" w:sz="4" w:space="0" w:color="000000"/>
              <w:left w:val="single" w:sz="4" w:space="0" w:color="000000"/>
              <w:bottom w:val="dotted" w:sz="4" w:space="0" w:color="000000"/>
              <w:right w:val="nil"/>
            </w:tcBorders>
            <w:hideMark/>
          </w:tcPr>
          <w:p w14:paraId="314B0DA4" w14:textId="6CF3F614" w:rsidR="00B9264D" w:rsidRPr="00504990" w:rsidRDefault="004E597E" w:rsidP="00085B24">
            <w:pPr>
              <w:spacing w:after="0" w:line="240" w:lineRule="auto"/>
              <w:jc w:val="center"/>
              <w:rPr>
                <w:rFonts w:ascii="Verdana" w:hAnsi="Verdana"/>
                <w:sz w:val="20"/>
                <w:szCs w:val="20"/>
              </w:rPr>
            </w:pPr>
            <w:r>
              <w:rPr>
                <w:rFonts w:ascii="Verdana" w:hAnsi="Verdana"/>
                <w:sz w:val="20"/>
                <w:szCs w:val="20"/>
              </w:rPr>
              <w:t>2</w:t>
            </w:r>
          </w:p>
        </w:tc>
        <w:tc>
          <w:tcPr>
            <w:tcW w:w="1701" w:type="dxa"/>
            <w:tcBorders>
              <w:top w:val="dotted" w:sz="4" w:space="0" w:color="000000"/>
              <w:left w:val="single" w:sz="4" w:space="0" w:color="000000"/>
              <w:bottom w:val="dotted" w:sz="4" w:space="0" w:color="000000"/>
              <w:right w:val="nil"/>
            </w:tcBorders>
            <w:shd w:val="clear" w:color="auto" w:fill="FFFFCC"/>
            <w:hideMark/>
          </w:tcPr>
          <w:p w14:paraId="27572778" w14:textId="77777777" w:rsidR="00B9264D" w:rsidRPr="004E597E" w:rsidRDefault="00B9264D"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hideMark/>
          </w:tcPr>
          <w:p w14:paraId="5591E6BB" w14:textId="77777777" w:rsidR="00B9264D" w:rsidRPr="004E597E" w:rsidRDefault="00B9264D"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4E597E" w:rsidRPr="00504990" w14:paraId="0EB0A3AB" w14:textId="77777777" w:rsidTr="00AF5576">
        <w:tc>
          <w:tcPr>
            <w:tcW w:w="567" w:type="dxa"/>
            <w:tcBorders>
              <w:top w:val="dotted" w:sz="4" w:space="0" w:color="000000"/>
              <w:left w:val="nil"/>
              <w:bottom w:val="dotted" w:sz="4" w:space="0" w:color="000000"/>
              <w:right w:val="single" w:sz="4" w:space="0" w:color="000000"/>
            </w:tcBorders>
          </w:tcPr>
          <w:p w14:paraId="6D350BCB" w14:textId="6D661C6A" w:rsidR="004E597E" w:rsidRPr="00504990" w:rsidRDefault="004E597E" w:rsidP="004E597E">
            <w:pPr>
              <w:spacing w:after="100" w:afterAutospacing="1"/>
              <w:rPr>
                <w:rFonts w:ascii="Verdana" w:hAnsi="Verdana"/>
                <w:sz w:val="20"/>
                <w:szCs w:val="20"/>
              </w:rPr>
            </w:pPr>
            <w:r>
              <w:rPr>
                <w:rFonts w:ascii="Verdana" w:hAnsi="Verdana"/>
                <w:sz w:val="20"/>
                <w:szCs w:val="20"/>
              </w:rPr>
              <w:t>2</w:t>
            </w:r>
          </w:p>
        </w:tc>
        <w:tc>
          <w:tcPr>
            <w:tcW w:w="5244" w:type="dxa"/>
            <w:tcBorders>
              <w:top w:val="dotted" w:sz="4" w:space="0" w:color="000000"/>
              <w:left w:val="single" w:sz="4" w:space="0" w:color="000000"/>
              <w:bottom w:val="dotted" w:sz="4" w:space="0" w:color="000000"/>
              <w:right w:val="single" w:sz="4" w:space="0" w:color="000000"/>
            </w:tcBorders>
          </w:tcPr>
          <w:p w14:paraId="27124F74" w14:textId="30711FB9" w:rsidR="004E597E" w:rsidRPr="004E597E" w:rsidRDefault="004E597E" w:rsidP="00085B24">
            <w:pPr>
              <w:spacing w:after="0" w:line="240" w:lineRule="auto"/>
              <w:rPr>
                <w:rFonts w:ascii="Verdana" w:hAnsi="Verdana"/>
                <w:sz w:val="20"/>
                <w:szCs w:val="20"/>
              </w:rPr>
            </w:pPr>
            <w:r w:rsidRPr="004E597E">
              <w:rPr>
                <w:rFonts w:ascii="Verdana" w:hAnsi="Verdana"/>
                <w:sz w:val="20"/>
                <w:szCs w:val="20"/>
              </w:rPr>
              <w:t>FortiGate-</w:t>
            </w:r>
            <w:r>
              <w:rPr>
                <w:rFonts w:ascii="Verdana" w:hAnsi="Verdana"/>
                <w:sz w:val="20"/>
                <w:szCs w:val="20"/>
              </w:rPr>
              <w:t>1</w:t>
            </w:r>
            <w:r w:rsidRPr="004E597E">
              <w:rPr>
                <w:rFonts w:ascii="Verdana" w:hAnsi="Verdana"/>
                <w:sz w:val="20"/>
                <w:szCs w:val="20"/>
              </w:rPr>
              <w:t>00</w:t>
            </w:r>
            <w:r>
              <w:rPr>
                <w:rFonts w:ascii="Verdana" w:hAnsi="Verdana"/>
                <w:sz w:val="20"/>
                <w:szCs w:val="20"/>
              </w:rPr>
              <w:t>F</w:t>
            </w:r>
            <w:r w:rsidRPr="004E597E">
              <w:rPr>
                <w:rFonts w:ascii="Verdana" w:hAnsi="Verdana"/>
                <w:sz w:val="20"/>
                <w:szCs w:val="20"/>
              </w:rPr>
              <w:t xml:space="preserve"> 1 Year Unified Threat Protection (UTP) (IPS, Advanced Malware Protection, Application Control, URL, DNS &amp; Video Filtering, Antispam Service, and </w:t>
            </w:r>
            <w:proofErr w:type="spellStart"/>
            <w:r w:rsidRPr="004E597E">
              <w:rPr>
                <w:rFonts w:ascii="Verdana" w:hAnsi="Verdana"/>
                <w:sz w:val="20"/>
                <w:szCs w:val="20"/>
              </w:rPr>
              <w:t>FortiCare</w:t>
            </w:r>
            <w:proofErr w:type="spellEnd"/>
            <w:r w:rsidRPr="004E597E">
              <w:rPr>
                <w:rFonts w:ascii="Verdana" w:hAnsi="Verdana"/>
                <w:sz w:val="20"/>
                <w:szCs w:val="20"/>
              </w:rPr>
              <w:t xml:space="preserve"> Premium)</w:t>
            </w:r>
          </w:p>
        </w:tc>
        <w:tc>
          <w:tcPr>
            <w:tcW w:w="709" w:type="dxa"/>
            <w:tcBorders>
              <w:top w:val="dotted" w:sz="4" w:space="0" w:color="000000"/>
              <w:left w:val="single" w:sz="4" w:space="0" w:color="000000"/>
              <w:bottom w:val="dotted" w:sz="4" w:space="0" w:color="000000"/>
              <w:right w:val="nil"/>
            </w:tcBorders>
          </w:tcPr>
          <w:p w14:paraId="047ECD6A" w14:textId="7EDABC7E" w:rsidR="004E597E" w:rsidRDefault="004E597E"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0F9B1ECC" w14:textId="611139CD" w:rsidR="004E597E" w:rsidRPr="004E597E" w:rsidRDefault="004E597E"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4CF92FEE" w14:textId="6CE3632F" w:rsidR="004E597E" w:rsidRPr="004E597E" w:rsidRDefault="004E597E"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58F3657D" w14:textId="77777777" w:rsidTr="00AF5576">
        <w:tc>
          <w:tcPr>
            <w:tcW w:w="567" w:type="dxa"/>
            <w:tcBorders>
              <w:top w:val="dotted" w:sz="4" w:space="0" w:color="000000"/>
              <w:left w:val="nil"/>
              <w:bottom w:val="dotted" w:sz="4" w:space="0" w:color="000000"/>
              <w:right w:val="single" w:sz="4" w:space="0" w:color="000000"/>
            </w:tcBorders>
          </w:tcPr>
          <w:p w14:paraId="099D3691" w14:textId="0C895384" w:rsidR="00AA7AAF" w:rsidRDefault="00AA7AAF" w:rsidP="00AA7AAF">
            <w:pPr>
              <w:spacing w:after="100" w:afterAutospacing="1"/>
              <w:rPr>
                <w:rFonts w:ascii="Verdana" w:hAnsi="Verdana"/>
                <w:sz w:val="20"/>
                <w:szCs w:val="20"/>
              </w:rPr>
            </w:pPr>
            <w:r>
              <w:rPr>
                <w:rFonts w:ascii="Verdana" w:hAnsi="Verdana"/>
                <w:sz w:val="20"/>
                <w:szCs w:val="20"/>
              </w:rPr>
              <w:t>3</w:t>
            </w:r>
          </w:p>
        </w:tc>
        <w:tc>
          <w:tcPr>
            <w:tcW w:w="5244" w:type="dxa"/>
            <w:tcBorders>
              <w:top w:val="dotted" w:sz="4" w:space="0" w:color="000000"/>
              <w:left w:val="single" w:sz="4" w:space="0" w:color="000000"/>
              <w:bottom w:val="dotted" w:sz="4" w:space="0" w:color="000000"/>
              <w:right w:val="single" w:sz="4" w:space="0" w:color="000000"/>
            </w:tcBorders>
          </w:tcPr>
          <w:p w14:paraId="6F42FFC9" w14:textId="065F6983" w:rsidR="00AA7AAF" w:rsidRPr="004E597E" w:rsidRDefault="00AA7AAF" w:rsidP="00085B24">
            <w:pPr>
              <w:spacing w:after="0" w:line="240" w:lineRule="auto"/>
              <w:rPr>
                <w:rFonts w:ascii="Verdana" w:hAnsi="Verdana"/>
                <w:sz w:val="20"/>
                <w:szCs w:val="20"/>
              </w:rPr>
            </w:pPr>
            <w:r w:rsidRPr="00AA7AAF">
              <w:rPr>
                <w:rFonts w:ascii="Verdana" w:hAnsi="Verdana"/>
                <w:sz w:val="20"/>
                <w:szCs w:val="20"/>
              </w:rPr>
              <w:t xml:space="preserve">Fortinet FortiGate 120G Firewall </w:t>
            </w:r>
            <w:r w:rsidRPr="00D96888">
              <w:rPr>
                <w:rFonts w:ascii="Verdana" w:hAnsi="Verdana"/>
                <w:sz w:val="20"/>
                <w:szCs w:val="20"/>
              </w:rPr>
              <w:t>FG-120G 18 x GE RJ45 ports (including 1 x MGMT port, 1 X HA port, 16 x switch ports), 8 x GE SFP slots, 4 x 10GE SFP+ slots, SP5 hardware accelerated, dual AC power supplies</w:t>
            </w:r>
          </w:p>
        </w:tc>
        <w:tc>
          <w:tcPr>
            <w:tcW w:w="709" w:type="dxa"/>
            <w:tcBorders>
              <w:top w:val="dotted" w:sz="4" w:space="0" w:color="000000"/>
              <w:left w:val="single" w:sz="4" w:space="0" w:color="000000"/>
              <w:bottom w:val="dotted" w:sz="4" w:space="0" w:color="000000"/>
              <w:right w:val="nil"/>
            </w:tcBorders>
          </w:tcPr>
          <w:p w14:paraId="785BBB2D" w14:textId="4A8B267E"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7228A29C" w14:textId="519D459C"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1BF31EDB" w14:textId="1984607E"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0ECC16BE" w14:textId="77777777" w:rsidTr="00AF5576">
        <w:tc>
          <w:tcPr>
            <w:tcW w:w="567" w:type="dxa"/>
            <w:tcBorders>
              <w:top w:val="dotted" w:sz="4" w:space="0" w:color="000000"/>
              <w:left w:val="nil"/>
              <w:bottom w:val="dotted" w:sz="4" w:space="0" w:color="000000"/>
              <w:right w:val="single" w:sz="4" w:space="0" w:color="000000"/>
            </w:tcBorders>
          </w:tcPr>
          <w:p w14:paraId="351A4CD6" w14:textId="0B55A009" w:rsidR="00AA7AAF" w:rsidRDefault="00AA7AAF" w:rsidP="00AA7AAF">
            <w:pPr>
              <w:spacing w:after="100" w:afterAutospacing="1"/>
              <w:rPr>
                <w:rFonts w:ascii="Verdana" w:hAnsi="Verdana"/>
                <w:sz w:val="20"/>
                <w:szCs w:val="20"/>
              </w:rPr>
            </w:pPr>
            <w:r>
              <w:rPr>
                <w:rFonts w:ascii="Verdana" w:hAnsi="Verdana"/>
                <w:sz w:val="20"/>
                <w:szCs w:val="20"/>
              </w:rPr>
              <w:t>4</w:t>
            </w:r>
          </w:p>
        </w:tc>
        <w:tc>
          <w:tcPr>
            <w:tcW w:w="5244" w:type="dxa"/>
            <w:tcBorders>
              <w:top w:val="dotted" w:sz="4" w:space="0" w:color="000000"/>
              <w:left w:val="single" w:sz="4" w:space="0" w:color="000000"/>
              <w:bottom w:val="dotted" w:sz="4" w:space="0" w:color="000000"/>
              <w:right w:val="single" w:sz="4" w:space="0" w:color="000000"/>
            </w:tcBorders>
          </w:tcPr>
          <w:p w14:paraId="4D028435" w14:textId="7B8CFB78" w:rsidR="00AA7AAF" w:rsidRPr="004E597E" w:rsidRDefault="00AA7AAF" w:rsidP="00085B24">
            <w:pPr>
              <w:spacing w:after="0" w:line="240" w:lineRule="auto"/>
              <w:rPr>
                <w:rFonts w:ascii="Verdana" w:hAnsi="Verdana"/>
                <w:sz w:val="20"/>
                <w:szCs w:val="20"/>
              </w:rPr>
            </w:pPr>
            <w:r w:rsidRPr="00D96888">
              <w:rPr>
                <w:rFonts w:ascii="Verdana" w:hAnsi="Verdana"/>
                <w:sz w:val="20"/>
                <w:szCs w:val="20"/>
              </w:rPr>
              <w:t xml:space="preserve">FortiGate-120G 1 Year Unified Threat Protection (UTP) (IPS, Advanced Malware Protection, Application Control, URL, DNS &amp; Video Filtering, Antispam Service, and </w:t>
            </w:r>
            <w:proofErr w:type="spellStart"/>
            <w:r w:rsidRPr="00D96888">
              <w:rPr>
                <w:rFonts w:ascii="Verdana" w:hAnsi="Verdana"/>
                <w:sz w:val="20"/>
                <w:szCs w:val="20"/>
              </w:rPr>
              <w:t>FortiCare</w:t>
            </w:r>
            <w:proofErr w:type="spellEnd"/>
            <w:r w:rsidRPr="00D96888">
              <w:rPr>
                <w:rFonts w:ascii="Verdana" w:hAnsi="Verdana"/>
                <w:sz w:val="20"/>
                <w:szCs w:val="20"/>
              </w:rPr>
              <w:t xml:space="preserve"> Premium)</w:t>
            </w:r>
          </w:p>
        </w:tc>
        <w:tc>
          <w:tcPr>
            <w:tcW w:w="709" w:type="dxa"/>
            <w:tcBorders>
              <w:top w:val="dotted" w:sz="4" w:space="0" w:color="000000"/>
              <w:left w:val="single" w:sz="4" w:space="0" w:color="000000"/>
              <w:bottom w:val="dotted" w:sz="4" w:space="0" w:color="000000"/>
              <w:right w:val="nil"/>
            </w:tcBorders>
          </w:tcPr>
          <w:p w14:paraId="7496D69E" w14:textId="6A981849"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59B464C8" w14:textId="6A2D3F15"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788B3062" w14:textId="64DA0349"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0B918C8E" w14:textId="77777777" w:rsidTr="00AF5576">
        <w:tc>
          <w:tcPr>
            <w:tcW w:w="567" w:type="dxa"/>
            <w:tcBorders>
              <w:top w:val="dotted" w:sz="4" w:space="0" w:color="000000"/>
              <w:left w:val="nil"/>
              <w:bottom w:val="dotted" w:sz="4" w:space="0" w:color="000000"/>
              <w:right w:val="single" w:sz="4" w:space="0" w:color="000000"/>
            </w:tcBorders>
          </w:tcPr>
          <w:p w14:paraId="78589A3F" w14:textId="2BB8970F" w:rsidR="00AA7AAF" w:rsidRPr="00504990" w:rsidRDefault="00AA7AAF" w:rsidP="00AA7AAF">
            <w:pPr>
              <w:spacing w:after="100" w:afterAutospacing="1"/>
              <w:rPr>
                <w:rFonts w:ascii="Verdana" w:hAnsi="Verdana"/>
                <w:sz w:val="20"/>
                <w:szCs w:val="20"/>
              </w:rPr>
            </w:pPr>
            <w:r>
              <w:rPr>
                <w:rFonts w:ascii="Verdana" w:hAnsi="Verdana"/>
                <w:sz w:val="20"/>
                <w:szCs w:val="20"/>
              </w:rPr>
              <w:t>5</w:t>
            </w:r>
          </w:p>
        </w:tc>
        <w:tc>
          <w:tcPr>
            <w:tcW w:w="5244" w:type="dxa"/>
            <w:tcBorders>
              <w:top w:val="dotted" w:sz="4" w:space="0" w:color="000000"/>
              <w:left w:val="single" w:sz="4" w:space="0" w:color="000000"/>
              <w:bottom w:val="dotted" w:sz="4" w:space="0" w:color="000000"/>
              <w:right w:val="single" w:sz="4" w:space="0" w:color="000000"/>
            </w:tcBorders>
          </w:tcPr>
          <w:p w14:paraId="7A2259F2" w14:textId="796FBC5C"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 xml:space="preserve">Software instance ESET PROTECT Entry On-prem. (40 objects, 1 - year, </w:t>
            </w:r>
            <w:r>
              <w:rPr>
                <w:rFonts w:ascii="Verdana" w:hAnsi="Verdana"/>
                <w:sz w:val="20"/>
                <w:szCs w:val="20"/>
              </w:rPr>
              <w:t>renewal</w:t>
            </w:r>
            <w:r w:rsidRPr="004E597E">
              <w:rPr>
                <w:rFonts w:ascii="Verdana" w:hAnsi="Verdana"/>
                <w:sz w:val="20"/>
                <w:szCs w:val="20"/>
              </w:rPr>
              <w:t>)</w:t>
            </w:r>
          </w:p>
        </w:tc>
        <w:tc>
          <w:tcPr>
            <w:tcW w:w="709" w:type="dxa"/>
            <w:tcBorders>
              <w:top w:val="dotted" w:sz="4" w:space="0" w:color="000000"/>
              <w:left w:val="single" w:sz="4" w:space="0" w:color="000000"/>
              <w:bottom w:val="dotted" w:sz="4" w:space="0" w:color="000000"/>
              <w:right w:val="nil"/>
            </w:tcBorders>
          </w:tcPr>
          <w:p w14:paraId="12E18AE2" w14:textId="4E9A0537"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7199BE37" w14:textId="17B593AC"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32233413" w14:textId="2BEEE741"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48DF66E1" w14:textId="77777777" w:rsidTr="00AF5576">
        <w:tc>
          <w:tcPr>
            <w:tcW w:w="567" w:type="dxa"/>
            <w:tcBorders>
              <w:top w:val="dotted" w:sz="4" w:space="0" w:color="000000"/>
              <w:left w:val="nil"/>
              <w:bottom w:val="dotted" w:sz="4" w:space="0" w:color="000000"/>
              <w:right w:val="single" w:sz="4" w:space="0" w:color="000000"/>
            </w:tcBorders>
          </w:tcPr>
          <w:p w14:paraId="18B2A0C9" w14:textId="6F0A4B34" w:rsidR="00AA7AAF" w:rsidRPr="00504990" w:rsidRDefault="00AA7AAF" w:rsidP="00AA7AAF">
            <w:pPr>
              <w:spacing w:after="100" w:afterAutospacing="1"/>
              <w:rPr>
                <w:rFonts w:ascii="Verdana" w:hAnsi="Verdana"/>
                <w:sz w:val="20"/>
                <w:szCs w:val="20"/>
              </w:rPr>
            </w:pPr>
            <w:r>
              <w:rPr>
                <w:rFonts w:ascii="Verdana" w:hAnsi="Verdana"/>
                <w:sz w:val="20"/>
                <w:szCs w:val="20"/>
              </w:rPr>
              <w:t>6</w:t>
            </w:r>
          </w:p>
        </w:tc>
        <w:tc>
          <w:tcPr>
            <w:tcW w:w="5244" w:type="dxa"/>
            <w:tcBorders>
              <w:top w:val="dotted" w:sz="4" w:space="0" w:color="000000"/>
              <w:left w:val="single" w:sz="4" w:space="0" w:color="000000"/>
              <w:bottom w:val="dotted" w:sz="4" w:space="0" w:color="000000"/>
              <w:right w:val="single" w:sz="4" w:space="0" w:color="000000"/>
            </w:tcBorders>
          </w:tcPr>
          <w:p w14:paraId="17CF06BB" w14:textId="14FEDCBB"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Software instance ESET PROTECT Entry On-prem. (</w:t>
            </w:r>
            <w:r>
              <w:rPr>
                <w:rFonts w:ascii="Verdana" w:hAnsi="Verdana"/>
                <w:sz w:val="20"/>
                <w:szCs w:val="20"/>
              </w:rPr>
              <w:t>2</w:t>
            </w:r>
            <w:r w:rsidRPr="004E597E">
              <w:rPr>
                <w:rFonts w:ascii="Verdana" w:hAnsi="Verdana"/>
                <w:sz w:val="20"/>
                <w:szCs w:val="20"/>
              </w:rPr>
              <w:t xml:space="preserve">0 objects, 1 - year, </w:t>
            </w:r>
            <w:r>
              <w:rPr>
                <w:rFonts w:ascii="Verdana" w:hAnsi="Verdana"/>
                <w:sz w:val="20"/>
                <w:szCs w:val="20"/>
              </w:rPr>
              <w:t>renewal</w:t>
            </w:r>
            <w:r w:rsidRPr="004E597E">
              <w:rPr>
                <w:rFonts w:ascii="Verdana" w:hAnsi="Verdana"/>
                <w:sz w:val="20"/>
                <w:szCs w:val="20"/>
              </w:rPr>
              <w:t>)</w:t>
            </w:r>
          </w:p>
        </w:tc>
        <w:tc>
          <w:tcPr>
            <w:tcW w:w="709" w:type="dxa"/>
            <w:tcBorders>
              <w:top w:val="dotted" w:sz="4" w:space="0" w:color="000000"/>
              <w:left w:val="single" w:sz="4" w:space="0" w:color="000000"/>
              <w:bottom w:val="dotted" w:sz="4" w:space="0" w:color="000000"/>
              <w:right w:val="nil"/>
            </w:tcBorders>
          </w:tcPr>
          <w:p w14:paraId="7C41E0E3" w14:textId="1066C0D7"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065D6412" w14:textId="1578D4E4"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47D4C6E7" w14:textId="578BED64"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0806D14B" w14:textId="77777777" w:rsidTr="00AF5576">
        <w:tc>
          <w:tcPr>
            <w:tcW w:w="567" w:type="dxa"/>
            <w:tcBorders>
              <w:top w:val="dotted" w:sz="4" w:space="0" w:color="000000"/>
              <w:left w:val="nil"/>
              <w:bottom w:val="dotted" w:sz="4" w:space="0" w:color="000000"/>
              <w:right w:val="single" w:sz="4" w:space="0" w:color="000000"/>
            </w:tcBorders>
          </w:tcPr>
          <w:p w14:paraId="1A406A39" w14:textId="420690FD" w:rsidR="00AA7AAF" w:rsidRPr="00504990" w:rsidRDefault="00AA7AAF" w:rsidP="00AA7AAF">
            <w:pPr>
              <w:spacing w:after="100" w:afterAutospacing="1"/>
              <w:rPr>
                <w:rFonts w:ascii="Verdana" w:hAnsi="Verdana"/>
                <w:sz w:val="20"/>
                <w:szCs w:val="20"/>
              </w:rPr>
            </w:pPr>
            <w:r>
              <w:rPr>
                <w:rFonts w:ascii="Verdana" w:hAnsi="Verdana"/>
                <w:sz w:val="20"/>
                <w:szCs w:val="20"/>
              </w:rPr>
              <w:t>7</w:t>
            </w:r>
          </w:p>
        </w:tc>
        <w:tc>
          <w:tcPr>
            <w:tcW w:w="5244" w:type="dxa"/>
            <w:tcBorders>
              <w:top w:val="dotted" w:sz="4" w:space="0" w:color="000000"/>
              <w:left w:val="single" w:sz="4" w:space="0" w:color="000000"/>
              <w:bottom w:val="dotted" w:sz="4" w:space="0" w:color="000000"/>
              <w:right w:val="single" w:sz="4" w:space="0" w:color="000000"/>
            </w:tcBorders>
          </w:tcPr>
          <w:p w14:paraId="3437C85A" w14:textId="7950213F"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Software instance ESET PROTECT Entry On-prem. (</w:t>
            </w:r>
            <w:r>
              <w:rPr>
                <w:rFonts w:ascii="Verdana" w:hAnsi="Verdana"/>
                <w:sz w:val="20"/>
                <w:szCs w:val="20"/>
              </w:rPr>
              <w:t>180</w:t>
            </w:r>
            <w:r w:rsidRPr="004E597E">
              <w:rPr>
                <w:rFonts w:ascii="Verdana" w:hAnsi="Verdana"/>
                <w:sz w:val="20"/>
                <w:szCs w:val="20"/>
              </w:rPr>
              <w:t xml:space="preserve"> objects, 1 - year, </w:t>
            </w:r>
            <w:r>
              <w:rPr>
                <w:rFonts w:ascii="Verdana" w:hAnsi="Verdana"/>
                <w:sz w:val="20"/>
                <w:szCs w:val="20"/>
              </w:rPr>
              <w:t>renewal</w:t>
            </w:r>
            <w:r w:rsidRPr="004E597E">
              <w:rPr>
                <w:rFonts w:ascii="Verdana" w:hAnsi="Verdana"/>
                <w:sz w:val="20"/>
                <w:szCs w:val="20"/>
              </w:rPr>
              <w:t>)</w:t>
            </w:r>
          </w:p>
        </w:tc>
        <w:tc>
          <w:tcPr>
            <w:tcW w:w="709" w:type="dxa"/>
            <w:tcBorders>
              <w:top w:val="dotted" w:sz="4" w:space="0" w:color="000000"/>
              <w:left w:val="single" w:sz="4" w:space="0" w:color="000000"/>
              <w:bottom w:val="dotted" w:sz="4" w:space="0" w:color="000000"/>
              <w:right w:val="nil"/>
            </w:tcBorders>
          </w:tcPr>
          <w:p w14:paraId="5B0DEEA6" w14:textId="12187463"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40893ADC" w14:textId="1E306D72"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6BA3DA9E" w14:textId="42E378AB"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49E63627" w14:textId="77777777" w:rsidTr="00AF5576">
        <w:tc>
          <w:tcPr>
            <w:tcW w:w="567" w:type="dxa"/>
            <w:tcBorders>
              <w:top w:val="dotted" w:sz="4" w:space="0" w:color="000000"/>
              <w:left w:val="nil"/>
              <w:bottom w:val="dotted" w:sz="4" w:space="0" w:color="000000"/>
              <w:right w:val="single" w:sz="4" w:space="0" w:color="000000"/>
            </w:tcBorders>
          </w:tcPr>
          <w:p w14:paraId="0E25C583" w14:textId="2742648F" w:rsidR="00AA7AAF" w:rsidRPr="00504990" w:rsidRDefault="00AA7AAF" w:rsidP="00AA7AAF">
            <w:pPr>
              <w:spacing w:after="100" w:afterAutospacing="1"/>
              <w:rPr>
                <w:rFonts w:ascii="Verdana" w:hAnsi="Verdana"/>
                <w:sz w:val="20"/>
                <w:szCs w:val="20"/>
              </w:rPr>
            </w:pPr>
            <w:r>
              <w:rPr>
                <w:rFonts w:ascii="Verdana" w:hAnsi="Verdana"/>
                <w:sz w:val="20"/>
                <w:szCs w:val="20"/>
              </w:rPr>
              <w:t>8</w:t>
            </w:r>
          </w:p>
        </w:tc>
        <w:tc>
          <w:tcPr>
            <w:tcW w:w="5244" w:type="dxa"/>
            <w:tcBorders>
              <w:top w:val="dotted" w:sz="4" w:space="0" w:color="000000"/>
              <w:left w:val="single" w:sz="4" w:space="0" w:color="000000"/>
              <w:bottom w:val="dotted" w:sz="4" w:space="0" w:color="000000"/>
              <w:right w:val="single" w:sz="4" w:space="0" w:color="000000"/>
            </w:tcBorders>
          </w:tcPr>
          <w:p w14:paraId="5A16DEDF" w14:textId="115B9BAC"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 xml:space="preserve">Software instance ESET PROTECT Entry On-prem. (40 objects, 1 - year, </w:t>
            </w:r>
            <w:r>
              <w:rPr>
                <w:rFonts w:ascii="Verdana" w:hAnsi="Verdana"/>
                <w:sz w:val="20"/>
                <w:szCs w:val="20"/>
              </w:rPr>
              <w:t>renewal</w:t>
            </w:r>
            <w:r w:rsidRPr="004E597E">
              <w:rPr>
                <w:rFonts w:ascii="Verdana" w:hAnsi="Verdana"/>
                <w:sz w:val="20"/>
                <w:szCs w:val="20"/>
              </w:rPr>
              <w:t>)</w:t>
            </w:r>
          </w:p>
        </w:tc>
        <w:tc>
          <w:tcPr>
            <w:tcW w:w="709" w:type="dxa"/>
            <w:tcBorders>
              <w:top w:val="dotted" w:sz="4" w:space="0" w:color="000000"/>
              <w:left w:val="single" w:sz="4" w:space="0" w:color="000000"/>
              <w:bottom w:val="dotted" w:sz="4" w:space="0" w:color="000000"/>
              <w:right w:val="nil"/>
            </w:tcBorders>
          </w:tcPr>
          <w:p w14:paraId="3A70F843" w14:textId="4F35AF3D"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1AF107B8" w14:textId="2C2878A4"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2BC1EE78" w14:textId="27A90678"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09848AE4" w14:textId="77777777" w:rsidTr="00AF5576">
        <w:tc>
          <w:tcPr>
            <w:tcW w:w="567" w:type="dxa"/>
            <w:tcBorders>
              <w:top w:val="dotted" w:sz="4" w:space="0" w:color="000000"/>
              <w:left w:val="nil"/>
              <w:bottom w:val="dotted" w:sz="4" w:space="0" w:color="000000"/>
              <w:right w:val="single" w:sz="4" w:space="0" w:color="000000"/>
            </w:tcBorders>
          </w:tcPr>
          <w:p w14:paraId="6261F309" w14:textId="7D4346E6" w:rsidR="00AA7AAF" w:rsidRPr="00504990" w:rsidRDefault="00AA7AAF" w:rsidP="00AA7AAF">
            <w:pPr>
              <w:spacing w:after="100" w:afterAutospacing="1"/>
              <w:rPr>
                <w:rFonts w:ascii="Verdana" w:hAnsi="Verdana"/>
                <w:sz w:val="20"/>
                <w:szCs w:val="20"/>
              </w:rPr>
            </w:pPr>
            <w:r>
              <w:rPr>
                <w:rFonts w:ascii="Verdana" w:hAnsi="Verdana"/>
                <w:sz w:val="20"/>
                <w:szCs w:val="20"/>
              </w:rPr>
              <w:t>9</w:t>
            </w:r>
          </w:p>
        </w:tc>
        <w:tc>
          <w:tcPr>
            <w:tcW w:w="5244" w:type="dxa"/>
            <w:tcBorders>
              <w:top w:val="dotted" w:sz="4" w:space="0" w:color="000000"/>
              <w:left w:val="single" w:sz="4" w:space="0" w:color="000000"/>
              <w:bottom w:val="dotted" w:sz="4" w:space="0" w:color="000000"/>
              <w:right w:val="single" w:sz="4" w:space="0" w:color="000000"/>
            </w:tcBorders>
          </w:tcPr>
          <w:p w14:paraId="62B596A8" w14:textId="01E93733"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Software instance ESET PROTECT Entry On-prem. (</w:t>
            </w:r>
            <w:r>
              <w:rPr>
                <w:rFonts w:ascii="Verdana" w:hAnsi="Verdana"/>
                <w:sz w:val="20"/>
                <w:szCs w:val="20"/>
              </w:rPr>
              <w:t>8</w:t>
            </w:r>
            <w:r w:rsidRPr="004E597E">
              <w:rPr>
                <w:rFonts w:ascii="Verdana" w:hAnsi="Verdana"/>
                <w:sz w:val="20"/>
                <w:szCs w:val="20"/>
              </w:rPr>
              <w:t>0 objects, 1 - year)</w:t>
            </w:r>
          </w:p>
        </w:tc>
        <w:tc>
          <w:tcPr>
            <w:tcW w:w="709" w:type="dxa"/>
            <w:tcBorders>
              <w:top w:val="dotted" w:sz="4" w:space="0" w:color="000000"/>
              <w:left w:val="single" w:sz="4" w:space="0" w:color="000000"/>
              <w:bottom w:val="dotted" w:sz="4" w:space="0" w:color="000000"/>
              <w:right w:val="nil"/>
            </w:tcBorders>
          </w:tcPr>
          <w:p w14:paraId="6B618491" w14:textId="08A81EBE"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1727B134" w14:textId="0427F580"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68C5DB8C" w14:textId="0C01D5A4"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3DB3C9C7" w14:textId="77777777" w:rsidTr="00AF5576">
        <w:tc>
          <w:tcPr>
            <w:tcW w:w="567" w:type="dxa"/>
            <w:tcBorders>
              <w:top w:val="dotted" w:sz="4" w:space="0" w:color="000000"/>
              <w:left w:val="nil"/>
              <w:bottom w:val="dotted" w:sz="4" w:space="0" w:color="000000"/>
              <w:right w:val="single" w:sz="4" w:space="0" w:color="000000"/>
            </w:tcBorders>
          </w:tcPr>
          <w:p w14:paraId="1D670F64" w14:textId="5EC6F4C2" w:rsidR="00AA7AAF" w:rsidRPr="00504990" w:rsidRDefault="00AA7AAF" w:rsidP="00AA7AAF">
            <w:pPr>
              <w:spacing w:after="100" w:afterAutospacing="1"/>
              <w:rPr>
                <w:rFonts w:ascii="Verdana" w:hAnsi="Verdana"/>
                <w:sz w:val="20"/>
                <w:szCs w:val="20"/>
              </w:rPr>
            </w:pPr>
            <w:r>
              <w:rPr>
                <w:rFonts w:ascii="Verdana" w:hAnsi="Verdana"/>
                <w:sz w:val="20"/>
                <w:szCs w:val="20"/>
              </w:rPr>
              <w:t>10</w:t>
            </w:r>
          </w:p>
        </w:tc>
        <w:tc>
          <w:tcPr>
            <w:tcW w:w="5244" w:type="dxa"/>
            <w:tcBorders>
              <w:top w:val="dotted" w:sz="4" w:space="0" w:color="000000"/>
              <w:left w:val="single" w:sz="4" w:space="0" w:color="000000"/>
              <w:bottom w:val="dotted" w:sz="4" w:space="0" w:color="000000"/>
              <w:right w:val="single" w:sz="4" w:space="0" w:color="000000"/>
            </w:tcBorders>
          </w:tcPr>
          <w:p w14:paraId="15C63E75" w14:textId="7807A71A"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Software instance ESET PROTECT Entry On-prem. (</w:t>
            </w:r>
            <w:r>
              <w:rPr>
                <w:rFonts w:ascii="Verdana" w:hAnsi="Verdana"/>
                <w:sz w:val="20"/>
                <w:szCs w:val="20"/>
              </w:rPr>
              <w:t>100</w:t>
            </w:r>
            <w:r w:rsidRPr="004E597E">
              <w:rPr>
                <w:rFonts w:ascii="Verdana" w:hAnsi="Verdana"/>
                <w:sz w:val="20"/>
                <w:szCs w:val="20"/>
              </w:rPr>
              <w:t xml:space="preserve"> objects, 1 - year, </w:t>
            </w:r>
            <w:r>
              <w:rPr>
                <w:rFonts w:ascii="Verdana" w:hAnsi="Verdana"/>
                <w:sz w:val="20"/>
                <w:szCs w:val="20"/>
              </w:rPr>
              <w:t>renewal</w:t>
            </w:r>
            <w:r w:rsidRPr="004E597E">
              <w:rPr>
                <w:rFonts w:ascii="Verdana" w:hAnsi="Verdana"/>
                <w:sz w:val="20"/>
                <w:szCs w:val="20"/>
              </w:rPr>
              <w:t>)</w:t>
            </w:r>
          </w:p>
        </w:tc>
        <w:tc>
          <w:tcPr>
            <w:tcW w:w="709" w:type="dxa"/>
            <w:tcBorders>
              <w:top w:val="dotted" w:sz="4" w:space="0" w:color="000000"/>
              <w:left w:val="single" w:sz="4" w:space="0" w:color="000000"/>
              <w:bottom w:val="dotted" w:sz="4" w:space="0" w:color="000000"/>
              <w:right w:val="nil"/>
            </w:tcBorders>
          </w:tcPr>
          <w:p w14:paraId="7156BAC9" w14:textId="58A27A9E"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27489846" w14:textId="23C7256B"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27067499" w14:textId="29F3390A"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20B91C55" w14:textId="77777777" w:rsidTr="00AF5576">
        <w:tc>
          <w:tcPr>
            <w:tcW w:w="567" w:type="dxa"/>
            <w:tcBorders>
              <w:top w:val="dotted" w:sz="4" w:space="0" w:color="000000"/>
              <w:left w:val="nil"/>
              <w:bottom w:val="dotted" w:sz="4" w:space="0" w:color="000000"/>
              <w:right w:val="single" w:sz="4" w:space="0" w:color="000000"/>
            </w:tcBorders>
          </w:tcPr>
          <w:p w14:paraId="47DA3CC1" w14:textId="2315FDE5" w:rsidR="00AA7AAF" w:rsidRPr="00504990" w:rsidRDefault="00135EFF" w:rsidP="00AA7AAF">
            <w:pPr>
              <w:spacing w:after="100" w:afterAutospacing="1"/>
              <w:rPr>
                <w:rFonts w:ascii="Verdana" w:hAnsi="Verdana"/>
                <w:sz w:val="20"/>
                <w:szCs w:val="20"/>
              </w:rPr>
            </w:pPr>
            <w:r>
              <w:rPr>
                <w:rFonts w:ascii="Verdana" w:hAnsi="Verdana"/>
                <w:sz w:val="20"/>
                <w:szCs w:val="20"/>
              </w:rPr>
              <w:t>11</w:t>
            </w:r>
          </w:p>
        </w:tc>
        <w:tc>
          <w:tcPr>
            <w:tcW w:w="5244" w:type="dxa"/>
            <w:tcBorders>
              <w:top w:val="dotted" w:sz="4" w:space="0" w:color="000000"/>
              <w:left w:val="single" w:sz="4" w:space="0" w:color="000000"/>
              <w:bottom w:val="dotted" w:sz="4" w:space="0" w:color="000000"/>
              <w:right w:val="single" w:sz="4" w:space="0" w:color="000000"/>
            </w:tcBorders>
          </w:tcPr>
          <w:p w14:paraId="1A59819F" w14:textId="63EA9E15" w:rsidR="00AA7AAF" w:rsidRPr="004E597E" w:rsidRDefault="00AA7AAF" w:rsidP="00085B24">
            <w:pPr>
              <w:spacing w:after="0" w:line="240" w:lineRule="auto"/>
              <w:rPr>
                <w:rFonts w:ascii="Verdana" w:hAnsi="Verdana"/>
                <w:sz w:val="20"/>
                <w:szCs w:val="20"/>
              </w:rPr>
            </w:pPr>
            <w:r w:rsidRPr="004E597E">
              <w:rPr>
                <w:rFonts w:ascii="Verdana" w:hAnsi="Verdana"/>
                <w:sz w:val="20"/>
                <w:szCs w:val="20"/>
              </w:rPr>
              <w:t>Software instance ESET PROTECT Entry On-prem. (</w:t>
            </w:r>
            <w:r>
              <w:rPr>
                <w:rFonts w:ascii="Verdana" w:hAnsi="Verdana"/>
                <w:sz w:val="20"/>
                <w:szCs w:val="20"/>
              </w:rPr>
              <w:t>21</w:t>
            </w:r>
            <w:r w:rsidRPr="004E597E">
              <w:rPr>
                <w:rFonts w:ascii="Verdana" w:hAnsi="Verdana"/>
                <w:sz w:val="20"/>
                <w:szCs w:val="20"/>
              </w:rPr>
              <w:t xml:space="preserve"> objects, 1 - year)</w:t>
            </w:r>
          </w:p>
        </w:tc>
        <w:tc>
          <w:tcPr>
            <w:tcW w:w="709" w:type="dxa"/>
            <w:tcBorders>
              <w:top w:val="dotted" w:sz="4" w:space="0" w:color="000000"/>
              <w:left w:val="single" w:sz="4" w:space="0" w:color="000000"/>
              <w:bottom w:val="dotted" w:sz="4" w:space="0" w:color="000000"/>
              <w:right w:val="nil"/>
            </w:tcBorders>
          </w:tcPr>
          <w:p w14:paraId="76CE6B81" w14:textId="43B58AFD"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67FF1D49" w14:textId="40DF7BB2"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4113693D" w14:textId="58992E4F"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tr w:rsidR="00AA7AAF" w:rsidRPr="00504990" w14:paraId="18BE925F" w14:textId="77777777" w:rsidTr="00AF5576">
        <w:tc>
          <w:tcPr>
            <w:tcW w:w="567" w:type="dxa"/>
            <w:tcBorders>
              <w:top w:val="dotted" w:sz="4" w:space="0" w:color="000000"/>
              <w:left w:val="nil"/>
              <w:bottom w:val="dotted" w:sz="4" w:space="0" w:color="000000"/>
              <w:right w:val="single" w:sz="4" w:space="0" w:color="000000"/>
            </w:tcBorders>
          </w:tcPr>
          <w:p w14:paraId="28A5BCE2" w14:textId="7B37030B" w:rsidR="00AA7AAF" w:rsidRDefault="00135EFF" w:rsidP="00AA7AAF">
            <w:pPr>
              <w:spacing w:after="100" w:afterAutospacing="1"/>
              <w:rPr>
                <w:rFonts w:ascii="Verdana" w:hAnsi="Verdana"/>
                <w:sz w:val="20"/>
                <w:szCs w:val="20"/>
              </w:rPr>
            </w:pPr>
            <w:r>
              <w:rPr>
                <w:rFonts w:ascii="Verdana" w:hAnsi="Verdana"/>
                <w:sz w:val="20"/>
                <w:szCs w:val="20"/>
              </w:rPr>
              <w:t>12</w:t>
            </w:r>
          </w:p>
        </w:tc>
        <w:tc>
          <w:tcPr>
            <w:tcW w:w="5244" w:type="dxa"/>
            <w:tcBorders>
              <w:top w:val="dotted" w:sz="4" w:space="0" w:color="000000"/>
              <w:left w:val="single" w:sz="4" w:space="0" w:color="000000"/>
              <w:bottom w:val="dotted" w:sz="4" w:space="0" w:color="000000"/>
              <w:right w:val="single" w:sz="4" w:space="0" w:color="000000"/>
            </w:tcBorders>
          </w:tcPr>
          <w:p w14:paraId="794C0390" w14:textId="445AF7E5" w:rsidR="00AA7AAF" w:rsidRPr="004E597E" w:rsidRDefault="00AA7AAF" w:rsidP="00085B24">
            <w:pPr>
              <w:spacing w:after="0" w:line="240" w:lineRule="auto"/>
              <w:rPr>
                <w:rFonts w:ascii="Verdana" w:hAnsi="Verdana"/>
                <w:sz w:val="20"/>
                <w:szCs w:val="20"/>
              </w:rPr>
            </w:pPr>
            <w:proofErr w:type="spellStart"/>
            <w:r w:rsidRPr="00D96888">
              <w:rPr>
                <w:rFonts w:ascii="Verdana" w:hAnsi="Verdana"/>
                <w:sz w:val="20"/>
                <w:szCs w:val="20"/>
                <w:lang w:val="uk-UA"/>
              </w:rPr>
              <w:t>Safetica</w:t>
            </w:r>
            <w:proofErr w:type="spellEnd"/>
            <w:r w:rsidRPr="00D96888">
              <w:rPr>
                <w:rFonts w:ascii="Verdana" w:hAnsi="Verdana"/>
                <w:sz w:val="20"/>
                <w:szCs w:val="20"/>
                <w:lang w:val="uk-UA"/>
              </w:rPr>
              <w:t xml:space="preserve"> </w:t>
            </w:r>
            <w:proofErr w:type="spellStart"/>
            <w:r w:rsidRPr="00D96888">
              <w:rPr>
                <w:rFonts w:ascii="Verdana" w:hAnsi="Verdana"/>
                <w:sz w:val="20"/>
                <w:szCs w:val="20"/>
                <w:lang w:val="uk-UA"/>
              </w:rPr>
              <w:t>Enterprise</w:t>
            </w:r>
            <w:proofErr w:type="spellEnd"/>
            <w:r w:rsidRPr="00D96888">
              <w:rPr>
                <w:rFonts w:ascii="Verdana" w:hAnsi="Verdana"/>
                <w:sz w:val="20"/>
                <w:szCs w:val="20"/>
                <w:lang w:val="uk-UA"/>
              </w:rPr>
              <w:t xml:space="preserve"> + UEBA 250 </w:t>
            </w:r>
            <w:proofErr w:type="spellStart"/>
            <w:r w:rsidRPr="00D96888">
              <w:rPr>
                <w:rFonts w:ascii="Verdana" w:hAnsi="Verdana"/>
                <w:sz w:val="20"/>
                <w:szCs w:val="20"/>
                <w:lang w:val="uk-UA"/>
              </w:rPr>
              <w:t>obj</w:t>
            </w:r>
            <w:proofErr w:type="spellEnd"/>
            <w:r w:rsidRPr="00D96888">
              <w:rPr>
                <w:rFonts w:ascii="Verdana" w:hAnsi="Verdana"/>
                <w:sz w:val="20"/>
                <w:szCs w:val="20"/>
                <w:lang w:val="uk-UA"/>
              </w:rPr>
              <w:t>./1 y.</w:t>
            </w:r>
          </w:p>
        </w:tc>
        <w:tc>
          <w:tcPr>
            <w:tcW w:w="709" w:type="dxa"/>
            <w:tcBorders>
              <w:top w:val="dotted" w:sz="4" w:space="0" w:color="000000"/>
              <w:left w:val="single" w:sz="4" w:space="0" w:color="000000"/>
              <w:bottom w:val="dotted" w:sz="4" w:space="0" w:color="000000"/>
              <w:right w:val="nil"/>
            </w:tcBorders>
          </w:tcPr>
          <w:p w14:paraId="7431A6DE" w14:textId="70E4E368"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2FDB80B8" w14:textId="77777777" w:rsidR="00AA7AAF" w:rsidRPr="004E597E" w:rsidRDefault="00AA7AAF" w:rsidP="00085B24">
            <w:pPr>
              <w:spacing w:after="0" w:line="240" w:lineRule="auto"/>
              <w:rPr>
                <w:rFonts w:ascii="Verdana" w:hAnsi="Verdana"/>
                <w:i/>
                <w:color w:val="FF0000"/>
                <w:sz w:val="18"/>
                <w:szCs w:val="18"/>
              </w:rPr>
            </w:pPr>
          </w:p>
        </w:tc>
        <w:tc>
          <w:tcPr>
            <w:tcW w:w="1704" w:type="dxa"/>
            <w:tcBorders>
              <w:top w:val="dotted" w:sz="4" w:space="0" w:color="000000"/>
              <w:left w:val="single" w:sz="4" w:space="0" w:color="000000"/>
              <w:bottom w:val="dotted" w:sz="4" w:space="0" w:color="000000"/>
              <w:right w:val="nil"/>
            </w:tcBorders>
            <w:shd w:val="clear" w:color="auto" w:fill="FFFFCC"/>
          </w:tcPr>
          <w:p w14:paraId="12E5E63E" w14:textId="77777777" w:rsidR="00AA7AAF" w:rsidRPr="004E597E" w:rsidRDefault="00AA7AAF" w:rsidP="00085B24">
            <w:pPr>
              <w:spacing w:after="0" w:line="240" w:lineRule="auto"/>
              <w:rPr>
                <w:rFonts w:ascii="Verdana" w:hAnsi="Verdana"/>
                <w:i/>
                <w:color w:val="FF0000"/>
                <w:sz w:val="18"/>
                <w:szCs w:val="18"/>
              </w:rPr>
            </w:pPr>
          </w:p>
        </w:tc>
      </w:tr>
      <w:tr w:rsidR="00AA7AAF" w:rsidRPr="00504990" w14:paraId="62032294" w14:textId="77777777" w:rsidTr="00AF5576">
        <w:tc>
          <w:tcPr>
            <w:tcW w:w="567" w:type="dxa"/>
            <w:tcBorders>
              <w:top w:val="dotted" w:sz="4" w:space="0" w:color="000000"/>
              <w:left w:val="nil"/>
              <w:bottom w:val="dotted" w:sz="4" w:space="0" w:color="000000"/>
              <w:right w:val="single" w:sz="4" w:space="0" w:color="000000"/>
            </w:tcBorders>
          </w:tcPr>
          <w:p w14:paraId="08F07D59" w14:textId="53453F8E" w:rsidR="00AA7AAF" w:rsidRPr="00504990" w:rsidRDefault="00135EFF" w:rsidP="00AA7AAF">
            <w:pPr>
              <w:spacing w:after="100" w:afterAutospacing="1"/>
              <w:rPr>
                <w:rFonts w:ascii="Verdana" w:hAnsi="Verdana"/>
                <w:sz w:val="20"/>
                <w:szCs w:val="20"/>
              </w:rPr>
            </w:pPr>
            <w:r>
              <w:rPr>
                <w:rFonts w:ascii="Verdana" w:hAnsi="Verdana"/>
                <w:sz w:val="20"/>
                <w:szCs w:val="20"/>
              </w:rPr>
              <w:t>13</w:t>
            </w:r>
          </w:p>
        </w:tc>
        <w:tc>
          <w:tcPr>
            <w:tcW w:w="5244" w:type="dxa"/>
            <w:tcBorders>
              <w:top w:val="dotted" w:sz="4" w:space="0" w:color="000000"/>
              <w:left w:val="single" w:sz="4" w:space="0" w:color="000000"/>
              <w:bottom w:val="dotted" w:sz="4" w:space="0" w:color="000000"/>
              <w:right w:val="single" w:sz="4" w:space="0" w:color="000000"/>
            </w:tcBorders>
          </w:tcPr>
          <w:p w14:paraId="0D057F2D" w14:textId="7883C632" w:rsidR="00AA7AAF" w:rsidRPr="004E597E" w:rsidRDefault="00AA7AAF" w:rsidP="00085B24">
            <w:pPr>
              <w:spacing w:after="0" w:line="240" w:lineRule="auto"/>
              <w:rPr>
                <w:rFonts w:ascii="Verdana" w:hAnsi="Verdana"/>
                <w:sz w:val="20"/>
                <w:szCs w:val="20"/>
              </w:rPr>
            </w:pPr>
            <w:proofErr w:type="spellStart"/>
            <w:r w:rsidRPr="00D96888">
              <w:rPr>
                <w:rFonts w:ascii="Verdana" w:hAnsi="Verdana"/>
                <w:sz w:val="20"/>
                <w:szCs w:val="20"/>
                <w:lang w:val="uk-UA"/>
              </w:rPr>
              <w:t>Safetica</w:t>
            </w:r>
            <w:proofErr w:type="spellEnd"/>
            <w:r w:rsidRPr="00D96888">
              <w:rPr>
                <w:rFonts w:ascii="Verdana" w:hAnsi="Verdana"/>
                <w:sz w:val="20"/>
                <w:szCs w:val="20"/>
                <w:lang w:val="uk-UA"/>
              </w:rPr>
              <w:t xml:space="preserve"> </w:t>
            </w:r>
            <w:proofErr w:type="spellStart"/>
            <w:r w:rsidRPr="00D96888">
              <w:rPr>
                <w:rFonts w:ascii="Verdana" w:hAnsi="Verdana"/>
                <w:sz w:val="20"/>
                <w:szCs w:val="20"/>
                <w:lang w:val="uk-UA"/>
              </w:rPr>
              <w:t>Enterprise</w:t>
            </w:r>
            <w:proofErr w:type="spellEnd"/>
            <w:r w:rsidRPr="00D96888">
              <w:rPr>
                <w:rFonts w:ascii="Verdana" w:hAnsi="Verdana"/>
                <w:sz w:val="20"/>
                <w:szCs w:val="20"/>
                <w:lang w:val="uk-UA"/>
              </w:rPr>
              <w:t xml:space="preserve"> + UEBA </w:t>
            </w:r>
            <w:r>
              <w:rPr>
                <w:rFonts w:ascii="Verdana" w:hAnsi="Verdana"/>
                <w:sz w:val="20"/>
                <w:szCs w:val="20"/>
              </w:rPr>
              <w:t>100</w:t>
            </w:r>
            <w:r w:rsidRPr="00D96888">
              <w:rPr>
                <w:rFonts w:ascii="Verdana" w:hAnsi="Verdana"/>
                <w:sz w:val="20"/>
                <w:szCs w:val="20"/>
                <w:lang w:val="uk-UA"/>
              </w:rPr>
              <w:t xml:space="preserve"> </w:t>
            </w:r>
            <w:proofErr w:type="spellStart"/>
            <w:r w:rsidRPr="00D96888">
              <w:rPr>
                <w:rFonts w:ascii="Verdana" w:hAnsi="Verdana"/>
                <w:sz w:val="20"/>
                <w:szCs w:val="20"/>
                <w:lang w:val="uk-UA"/>
              </w:rPr>
              <w:t>obj</w:t>
            </w:r>
            <w:proofErr w:type="spellEnd"/>
            <w:r w:rsidRPr="00D96888">
              <w:rPr>
                <w:rFonts w:ascii="Verdana" w:hAnsi="Verdana"/>
                <w:sz w:val="20"/>
                <w:szCs w:val="20"/>
                <w:lang w:val="uk-UA"/>
              </w:rPr>
              <w:t>./1 y.</w:t>
            </w:r>
          </w:p>
        </w:tc>
        <w:tc>
          <w:tcPr>
            <w:tcW w:w="709" w:type="dxa"/>
            <w:tcBorders>
              <w:top w:val="dotted" w:sz="4" w:space="0" w:color="000000"/>
              <w:left w:val="single" w:sz="4" w:space="0" w:color="000000"/>
              <w:bottom w:val="dotted" w:sz="4" w:space="0" w:color="000000"/>
              <w:right w:val="nil"/>
            </w:tcBorders>
          </w:tcPr>
          <w:p w14:paraId="26EC8B89" w14:textId="6711E749" w:rsidR="00AA7AAF" w:rsidRDefault="00AA7AAF" w:rsidP="00085B24">
            <w:pPr>
              <w:spacing w:after="0" w:line="240" w:lineRule="auto"/>
              <w:jc w:val="center"/>
              <w:rPr>
                <w:rFonts w:ascii="Verdana" w:hAnsi="Verdana"/>
                <w:sz w:val="20"/>
                <w:szCs w:val="20"/>
              </w:rPr>
            </w:pPr>
            <w:r>
              <w:rPr>
                <w:rFonts w:ascii="Verdana" w:hAnsi="Verdana"/>
                <w:sz w:val="20"/>
                <w:szCs w:val="20"/>
              </w:rPr>
              <w:t>1</w:t>
            </w:r>
          </w:p>
        </w:tc>
        <w:tc>
          <w:tcPr>
            <w:tcW w:w="1701" w:type="dxa"/>
            <w:tcBorders>
              <w:top w:val="dotted" w:sz="4" w:space="0" w:color="000000"/>
              <w:left w:val="single" w:sz="4" w:space="0" w:color="000000"/>
              <w:bottom w:val="dotted" w:sz="4" w:space="0" w:color="000000"/>
              <w:right w:val="nil"/>
            </w:tcBorders>
            <w:shd w:val="clear" w:color="auto" w:fill="FFFFCC"/>
          </w:tcPr>
          <w:p w14:paraId="5BB1C45C" w14:textId="5ED22269"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c>
          <w:tcPr>
            <w:tcW w:w="1704" w:type="dxa"/>
            <w:tcBorders>
              <w:top w:val="dotted" w:sz="4" w:space="0" w:color="000000"/>
              <w:left w:val="single" w:sz="4" w:space="0" w:color="000000"/>
              <w:bottom w:val="dotted" w:sz="4" w:space="0" w:color="000000"/>
              <w:right w:val="nil"/>
            </w:tcBorders>
            <w:shd w:val="clear" w:color="auto" w:fill="FFFFCC"/>
          </w:tcPr>
          <w:p w14:paraId="4DC6E319" w14:textId="3E7F0304" w:rsidR="00AA7AAF" w:rsidRPr="004E597E" w:rsidRDefault="00AA7AAF" w:rsidP="00085B24">
            <w:pPr>
              <w:spacing w:after="0" w:line="240" w:lineRule="auto"/>
              <w:rPr>
                <w:rFonts w:ascii="Verdana" w:hAnsi="Verdana"/>
                <w:i/>
                <w:color w:val="FF0000"/>
                <w:sz w:val="18"/>
                <w:szCs w:val="18"/>
              </w:rPr>
            </w:pPr>
            <w:r w:rsidRPr="004E597E">
              <w:rPr>
                <w:rFonts w:ascii="Verdana" w:hAnsi="Verdana"/>
                <w:i/>
                <w:color w:val="FF0000"/>
                <w:sz w:val="18"/>
                <w:szCs w:val="18"/>
              </w:rPr>
              <w:t>To be filled out by Supplier</w:t>
            </w:r>
          </w:p>
        </w:tc>
      </w:tr>
      <w:bookmarkEnd w:id="10"/>
    </w:tbl>
    <w:p w14:paraId="6259CDA7" w14:textId="77777777" w:rsidR="00BD5422" w:rsidRPr="00504990" w:rsidRDefault="00BD5422" w:rsidP="00BD5422"/>
    <w:p w14:paraId="2A335BAE" w14:textId="77777777" w:rsidR="00BD5422" w:rsidRPr="00504990" w:rsidRDefault="00BD5422" w:rsidP="00BD5422"/>
    <w:p w14:paraId="0F50FE27" w14:textId="77777777" w:rsidR="00BD5422" w:rsidRPr="00504990" w:rsidRDefault="00BD5422" w:rsidP="00BD5422"/>
    <w:p w14:paraId="3132CCC6" w14:textId="77777777" w:rsidR="00BD5422" w:rsidRPr="00504990" w:rsidRDefault="00BD5422" w:rsidP="007C077A"/>
    <w:p w14:paraId="04E6A106" w14:textId="77777777" w:rsidR="004D1E47" w:rsidRPr="00504990" w:rsidRDefault="004D1E47">
      <w:pPr>
        <w:rPr>
          <w:sz w:val="2"/>
          <w:szCs w:val="2"/>
        </w:rPr>
      </w:pPr>
    </w:p>
    <w:sectPr w:rsidR="004D1E47" w:rsidRPr="00504990" w:rsidSect="007C077A">
      <w:footerReference w:type="default" r:id="rId13"/>
      <w:headerReference w:type="first" r:id="rId14"/>
      <w:pgSz w:w="11906" w:h="16838"/>
      <w:pgMar w:top="1701" w:right="1134" w:bottom="1701" w:left="1134"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981A1" w14:textId="77777777" w:rsidR="00D52C2F" w:rsidRPr="00714FBA" w:rsidRDefault="00D52C2F">
      <w:pPr>
        <w:spacing w:after="0" w:line="240" w:lineRule="auto"/>
      </w:pPr>
      <w:r w:rsidRPr="00714FBA">
        <w:separator/>
      </w:r>
    </w:p>
  </w:endnote>
  <w:endnote w:type="continuationSeparator" w:id="0">
    <w:p w14:paraId="765B6010" w14:textId="77777777" w:rsidR="00D52C2F" w:rsidRPr="00714FBA" w:rsidRDefault="00D52C2F">
      <w:pPr>
        <w:spacing w:after="0" w:line="240" w:lineRule="auto"/>
      </w:pPr>
      <w:r w:rsidRPr="00714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4D30" w14:textId="77777777" w:rsidR="00A97AD8" w:rsidRPr="00714FBA" w:rsidRDefault="00A97AD8">
    <w:pPr>
      <w:pBdr>
        <w:top w:val="nil"/>
        <w:left w:val="nil"/>
        <w:bottom w:val="nil"/>
        <w:right w:val="nil"/>
        <w:between w:val="nil"/>
      </w:pBdr>
      <w:tabs>
        <w:tab w:val="center" w:pos="4819"/>
        <w:tab w:val="right" w:pos="9639"/>
      </w:tabs>
      <w:spacing w:after="0" w:line="240" w:lineRule="auto"/>
      <w:jc w:val="center"/>
      <w:rPr>
        <w:color w:val="000000"/>
      </w:rPr>
    </w:pPr>
    <w:r w:rsidRPr="00714FBA">
      <w:rPr>
        <w:color w:val="000000"/>
      </w:rPr>
      <w:fldChar w:fldCharType="begin"/>
    </w:r>
    <w:r w:rsidRPr="00714FBA">
      <w:rPr>
        <w:color w:val="000000"/>
      </w:rPr>
      <w:instrText>PAGE</w:instrText>
    </w:r>
    <w:r w:rsidRPr="00714FBA">
      <w:rPr>
        <w:color w:val="000000"/>
      </w:rPr>
      <w:fldChar w:fldCharType="separate"/>
    </w:r>
    <w:r w:rsidR="00005BAE">
      <w:rPr>
        <w:noProof/>
        <w:color w:val="000000"/>
      </w:rPr>
      <w:t>5</w:t>
    </w:r>
    <w:r w:rsidRPr="00714FBA">
      <w:rPr>
        <w:color w:val="000000"/>
      </w:rPr>
      <w:fldChar w:fldCharType="end"/>
    </w:r>
  </w:p>
  <w:p w14:paraId="22C30973" w14:textId="77777777" w:rsidR="00A97AD8" w:rsidRPr="00714FBA"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9D32" w14:textId="77777777" w:rsidR="00D52C2F" w:rsidRPr="00714FBA" w:rsidRDefault="00D52C2F">
      <w:pPr>
        <w:spacing w:after="0" w:line="240" w:lineRule="auto"/>
      </w:pPr>
      <w:r w:rsidRPr="00714FBA">
        <w:separator/>
      </w:r>
    </w:p>
  </w:footnote>
  <w:footnote w:type="continuationSeparator" w:id="0">
    <w:p w14:paraId="778E0C83" w14:textId="77777777" w:rsidR="00D52C2F" w:rsidRPr="00714FBA" w:rsidRDefault="00D52C2F">
      <w:pPr>
        <w:spacing w:after="0" w:line="240" w:lineRule="auto"/>
      </w:pPr>
      <w:r w:rsidRPr="00714FBA">
        <w:continuationSeparator/>
      </w:r>
    </w:p>
  </w:footnote>
  <w:footnote w:id="1">
    <w:p w14:paraId="1E95A627" w14:textId="77777777" w:rsidR="00835597" w:rsidRPr="007B4D76" w:rsidRDefault="00835597" w:rsidP="00100DE1">
      <w:pPr>
        <w:pStyle w:val="FootnoteText"/>
        <w:jc w:val="both"/>
        <w:rPr>
          <w:rFonts w:ascii="Verdana" w:hAnsi="Verdana"/>
          <w:sz w:val="16"/>
          <w:szCs w:val="16"/>
        </w:rPr>
      </w:pPr>
      <w:r>
        <w:rPr>
          <w:rStyle w:val="FootnoteReference"/>
        </w:rPr>
        <w:footnoteRef/>
      </w:r>
      <w:r>
        <w:t xml:space="preserve"> </w:t>
      </w:r>
      <w:r w:rsidRPr="007B4D76">
        <w:rPr>
          <w:rFonts w:ascii="Verdana" w:hAnsi="Verdana"/>
          <w:sz w:val="16"/>
          <w:szCs w:val="16"/>
        </w:rPr>
        <w:t xml:space="preserve">The Unified Threat Protection License includes: The UTP Services Bundle (Application Control, IPS, AV, Botnet IP/Domain, Mobile Malware Service, Web Filtering, Antispam, </w:t>
      </w:r>
      <w:proofErr w:type="spellStart"/>
      <w:r w:rsidRPr="007B4D76">
        <w:rPr>
          <w:rFonts w:ascii="Verdana" w:hAnsi="Verdana"/>
          <w:sz w:val="16"/>
          <w:szCs w:val="16"/>
        </w:rPr>
        <w:t>FortiSandbox</w:t>
      </w:r>
      <w:proofErr w:type="spellEnd"/>
      <w:r w:rsidRPr="007B4D76">
        <w:rPr>
          <w:rFonts w:ascii="Verdana" w:hAnsi="Verdana"/>
          <w:sz w:val="16"/>
          <w:szCs w:val="16"/>
        </w:rPr>
        <w:t xml:space="preserve"> Cloud including Virus Outbreak and Content Disarm &amp; Reconstruct Services).</w:t>
      </w:r>
    </w:p>
  </w:footnote>
  <w:footnote w:id="2">
    <w:p w14:paraId="5BF4CFD6" w14:textId="39221D0B" w:rsidR="0032459F" w:rsidRPr="006813C5" w:rsidRDefault="0032459F">
      <w:pPr>
        <w:pStyle w:val="FootnoteText"/>
        <w:rPr>
          <w:rFonts w:ascii="Verdana" w:hAnsi="Verdana"/>
          <w:sz w:val="16"/>
          <w:szCs w:val="16"/>
        </w:rPr>
      </w:pPr>
      <w:r w:rsidRPr="006813C5">
        <w:rPr>
          <w:rStyle w:val="FootnoteReference"/>
          <w:rFonts w:ascii="Verdana" w:hAnsi="Verdana"/>
          <w:sz w:val="16"/>
          <w:szCs w:val="16"/>
        </w:rPr>
        <w:footnoteRef/>
      </w:r>
      <w:r w:rsidRPr="006813C5">
        <w:rPr>
          <w:rFonts w:ascii="Verdana" w:hAnsi="Verdana"/>
          <w:sz w:val="16"/>
          <w:szCs w:val="16"/>
        </w:rPr>
        <w:t xml:space="preserve"> The Fortinet FortiGate 120G is a next-generation </w:t>
      </w:r>
      <w:r w:rsidR="00085B24" w:rsidRPr="006813C5">
        <w:rPr>
          <w:rFonts w:ascii="Verdana" w:hAnsi="Verdana"/>
          <w:sz w:val="16"/>
          <w:szCs w:val="16"/>
        </w:rPr>
        <w:t xml:space="preserve">hardware </w:t>
      </w:r>
      <w:r w:rsidRPr="006813C5">
        <w:rPr>
          <w:rFonts w:ascii="Verdana" w:hAnsi="Verdana"/>
          <w:sz w:val="16"/>
          <w:szCs w:val="16"/>
        </w:rPr>
        <w:t>firewall (NGFW) designed for mid-sized businesses, branch offices, and distributed enterprises that require advanced security, high performance, and simplified management.</w:t>
      </w:r>
    </w:p>
  </w:footnote>
  <w:footnote w:id="3">
    <w:p w14:paraId="7D60A164" w14:textId="6B22C7E1" w:rsidR="0032459F" w:rsidRPr="006813C5" w:rsidRDefault="0032459F">
      <w:pPr>
        <w:pStyle w:val="FootnoteText"/>
        <w:rPr>
          <w:rFonts w:ascii="Verdana" w:hAnsi="Verdana"/>
          <w:sz w:val="16"/>
          <w:szCs w:val="16"/>
        </w:rPr>
      </w:pPr>
      <w:r w:rsidRPr="006813C5">
        <w:rPr>
          <w:rStyle w:val="FootnoteReference"/>
          <w:rFonts w:ascii="Verdana" w:hAnsi="Verdana"/>
          <w:sz w:val="16"/>
          <w:szCs w:val="16"/>
        </w:rPr>
        <w:footnoteRef/>
      </w:r>
      <w:r w:rsidRPr="006813C5">
        <w:rPr>
          <w:rFonts w:ascii="Verdana" w:hAnsi="Verdana"/>
          <w:sz w:val="16"/>
          <w:szCs w:val="16"/>
        </w:rPr>
        <w:t xml:space="preserve"> ESET PROTECT Entry On-Prem is an on-premises cybersecurity solution designed for businesses to protect their endpoints, servers, and data from malware, ransomware, and other cyber threats. It includes centralized management via the ESET PROTECT console, allowing IT administrators to monitor and control security across the organization's network</w:t>
      </w:r>
    </w:p>
  </w:footnote>
  <w:footnote w:id="4">
    <w:p w14:paraId="55BF4133" w14:textId="6803AD3B" w:rsidR="0032459F" w:rsidRPr="006813C5" w:rsidRDefault="0032459F">
      <w:pPr>
        <w:pStyle w:val="FootnoteText"/>
        <w:rPr>
          <w:rFonts w:ascii="Verdana" w:hAnsi="Verdana"/>
          <w:sz w:val="16"/>
          <w:szCs w:val="16"/>
        </w:rPr>
      </w:pPr>
      <w:r w:rsidRPr="006813C5">
        <w:rPr>
          <w:rStyle w:val="FootnoteReference"/>
          <w:rFonts w:ascii="Verdana" w:hAnsi="Verdana"/>
          <w:sz w:val="16"/>
          <w:szCs w:val="16"/>
        </w:rPr>
        <w:footnoteRef/>
      </w:r>
      <w:r w:rsidRPr="006813C5">
        <w:rPr>
          <w:rFonts w:ascii="Verdana" w:hAnsi="Verdana"/>
          <w:sz w:val="16"/>
          <w:szCs w:val="16"/>
        </w:rPr>
        <w:t xml:space="preserve"> </w:t>
      </w:r>
      <w:proofErr w:type="spellStart"/>
      <w:r w:rsidRPr="006813C5">
        <w:rPr>
          <w:rFonts w:ascii="Verdana" w:hAnsi="Verdana"/>
          <w:sz w:val="16"/>
          <w:szCs w:val="16"/>
        </w:rPr>
        <w:t>Safetica</w:t>
      </w:r>
      <w:proofErr w:type="spellEnd"/>
      <w:r w:rsidRPr="006813C5">
        <w:rPr>
          <w:rFonts w:ascii="Verdana" w:hAnsi="Verdana"/>
          <w:sz w:val="16"/>
          <w:szCs w:val="16"/>
        </w:rPr>
        <w:t xml:space="preserve"> Enterprise + UEBA is an advanced Data Loss Prevention (DLP) and User and Entity </w:t>
      </w:r>
      <w:proofErr w:type="spellStart"/>
      <w:r w:rsidRPr="006813C5">
        <w:rPr>
          <w:rFonts w:ascii="Verdana" w:hAnsi="Verdana"/>
          <w:sz w:val="16"/>
          <w:szCs w:val="16"/>
        </w:rPr>
        <w:t>Behavior</w:t>
      </w:r>
      <w:proofErr w:type="spellEnd"/>
      <w:r w:rsidRPr="006813C5">
        <w:rPr>
          <w:rFonts w:ascii="Verdana" w:hAnsi="Verdana"/>
          <w:sz w:val="16"/>
          <w:szCs w:val="16"/>
        </w:rPr>
        <w:t xml:space="preserve"> Analytics (UEBA) solution designed to protect organizations from data leaks, insider threats, and compliance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DE13" w14:textId="77777777" w:rsidR="00B06C79" w:rsidRPr="00714FBA" w:rsidRDefault="00B06C79">
    <w:pPr>
      <w:pStyle w:val="Header"/>
    </w:pPr>
    <w:r w:rsidRPr="00714FBA">
      <w:rPr>
        <w:noProof/>
        <w:color w:val="000000"/>
        <w:lang w:eastAsia="en-GB"/>
      </w:rPr>
      <w:drawing>
        <wp:inline distT="0" distB="0" distL="0" distR="0" wp14:anchorId="35DD1748" wp14:editId="7DD2EDD5">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04DAC"/>
    <w:multiLevelType w:val="hybridMultilevel"/>
    <w:tmpl w:val="88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5" w15:restartNumberingAfterBreak="0">
    <w:nsid w:val="11CC75B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B7C26"/>
    <w:multiLevelType w:val="hybridMultilevel"/>
    <w:tmpl w:val="89423C18"/>
    <w:numStyleLink w:val="1"/>
  </w:abstractNum>
  <w:abstractNum w:abstractNumId="16"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8"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9"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2950619">
    <w:abstractNumId w:val="7"/>
  </w:num>
  <w:num w:numId="2" w16cid:durableId="75515440">
    <w:abstractNumId w:val="17"/>
  </w:num>
  <w:num w:numId="3" w16cid:durableId="1451969914">
    <w:abstractNumId w:val="22"/>
  </w:num>
  <w:num w:numId="4" w16cid:durableId="345788579">
    <w:abstractNumId w:val="28"/>
  </w:num>
  <w:num w:numId="5" w16cid:durableId="820580987">
    <w:abstractNumId w:val="32"/>
  </w:num>
  <w:num w:numId="6" w16cid:durableId="1573393213">
    <w:abstractNumId w:val="4"/>
  </w:num>
  <w:num w:numId="7" w16cid:durableId="1282111881">
    <w:abstractNumId w:val="15"/>
    <w:lvlOverride w:ilvl="0">
      <w:lvl w:ilvl="0" w:tplc="DC6CCFDC">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16cid:durableId="822431930">
    <w:abstractNumId w:val="19"/>
  </w:num>
  <w:num w:numId="9" w16cid:durableId="689572519">
    <w:abstractNumId w:val="0"/>
  </w:num>
  <w:num w:numId="10" w16cid:durableId="430777840">
    <w:abstractNumId w:val="23"/>
  </w:num>
  <w:num w:numId="11" w16cid:durableId="1158960168">
    <w:abstractNumId w:val="10"/>
  </w:num>
  <w:num w:numId="12" w16cid:durableId="821652781">
    <w:abstractNumId w:val="8"/>
  </w:num>
  <w:num w:numId="13" w16cid:durableId="796526927">
    <w:abstractNumId w:val="3"/>
  </w:num>
  <w:num w:numId="14" w16cid:durableId="457073127">
    <w:abstractNumId w:val="1"/>
  </w:num>
  <w:num w:numId="15" w16cid:durableId="884488238">
    <w:abstractNumId w:val="13"/>
  </w:num>
  <w:num w:numId="16" w16cid:durableId="797842479">
    <w:abstractNumId w:val="6"/>
  </w:num>
  <w:num w:numId="17" w16cid:durableId="140733003">
    <w:abstractNumId w:val="16"/>
  </w:num>
  <w:num w:numId="18" w16cid:durableId="589046962">
    <w:abstractNumId w:val="9"/>
  </w:num>
  <w:num w:numId="19" w16cid:durableId="766269074">
    <w:abstractNumId w:val="11"/>
  </w:num>
  <w:num w:numId="20" w16cid:durableId="2074574675">
    <w:abstractNumId w:val="21"/>
  </w:num>
  <w:num w:numId="21" w16cid:durableId="974991895">
    <w:abstractNumId w:val="20"/>
  </w:num>
  <w:num w:numId="22" w16cid:durableId="1129393937">
    <w:abstractNumId w:val="25"/>
  </w:num>
  <w:num w:numId="23" w16cid:durableId="321786013">
    <w:abstractNumId w:val="27"/>
  </w:num>
  <w:num w:numId="24" w16cid:durableId="514346349">
    <w:abstractNumId w:val="24"/>
  </w:num>
  <w:num w:numId="25" w16cid:durableId="2140300263">
    <w:abstractNumId w:val="26"/>
  </w:num>
  <w:num w:numId="26" w16cid:durableId="683241418">
    <w:abstractNumId w:val="31"/>
  </w:num>
  <w:num w:numId="27" w16cid:durableId="1734739206">
    <w:abstractNumId w:val="12"/>
  </w:num>
  <w:num w:numId="28" w16cid:durableId="1916698163">
    <w:abstractNumId w:val="18"/>
  </w:num>
  <w:num w:numId="29" w16cid:durableId="109590506">
    <w:abstractNumId w:val="14"/>
  </w:num>
  <w:num w:numId="30" w16cid:durableId="550188339">
    <w:abstractNumId w:val="29"/>
  </w:num>
  <w:num w:numId="31" w16cid:durableId="1236936365">
    <w:abstractNumId w:val="2"/>
  </w:num>
  <w:num w:numId="32" w16cid:durableId="1919056361">
    <w:abstractNumId w:val="5"/>
  </w:num>
  <w:num w:numId="33" w16cid:durableId="16123235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47"/>
    <w:rsid w:val="00001154"/>
    <w:rsid w:val="000040D8"/>
    <w:rsid w:val="000048FA"/>
    <w:rsid w:val="00005BAE"/>
    <w:rsid w:val="00006BC3"/>
    <w:rsid w:val="00007582"/>
    <w:rsid w:val="00010418"/>
    <w:rsid w:val="000218D0"/>
    <w:rsid w:val="000221E4"/>
    <w:rsid w:val="0002427C"/>
    <w:rsid w:val="00037DE3"/>
    <w:rsid w:val="00040B8F"/>
    <w:rsid w:val="000433A9"/>
    <w:rsid w:val="000463FF"/>
    <w:rsid w:val="00053EFC"/>
    <w:rsid w:val="00056416"/>
    <w:rsid w:val="0006127F"/>
    <w:rsid w:val="00062F06"/>
    <w:rsid w:val="00067EE3"/>
    <w:rsid w:val="00072A9F"/>
    <w:rsid w:val="00072FF5"/>
    <w:rsid w:val="00076307"/>
    <w:rsid w:val="00077301"/>
    <w:rsid w:val="0008234F"/>
    <w:rsid w:val="00085B24"/>
    <w:rsid w:val="00086AAE"/>
    <w:rsid w:val="00087E22"/>
    <w:rsid w:val="000911FD"/>
    <w:rsid w:val="000A123A"/>
    <w:rsid w:val="000A2A46"/>
    <w:rsid w:val="000A33B1"/>
    <w:rsid w:val="000B0FE8"/>
    <w:rsid w:val="000B27E9"/>
    <w:rsid w:val="000B3904"/>
    <w:rsid w:val="000C40B3"/>
    <w:rsid w:val="000C40ED"/>
    <w:rsid w:val="000C4EB7"/>
    <w:rsid w:val="000C5AAE"/>
    <w:rsid w:val="000E49AC"/>
    <w:rsid w:val="000E4F74"/>
    <w:rsid w:val="000E611A"/>
    <w:rsid w:val="000E7315"/>
    <w:rsid w:val="000F5D96"/>
    <w:rsid w:val="000F79EE"/>
    <w:rsid w:val="00100DE1"/>
    <w:rsid w:val="001010EF"/>
    <w:rsid w:val="0010358F"/>
    <w:rsid w:val="0011106C"/>
    <w:rsid w:val="00111BF6"/>
    <w:rsid w:val="001267D9"/>
    <w:rsid w:val="00131605"/>
    <w:rsid w:val="00134F1E"/>
    <w:rsid w:val="00135EFF"/>
    <w:rsid w:val="00146FF2"/>
    <w:rsid w:val="00150C3B"/>
    <w:rsid w:val="0016015C"/>
    <w:rsid w:val="00167417"/>
    <w:rsid w:val="00173EA1"/>
    <w:rsid w:val="00176954"/>
    <w:rsid w:val="00181241"/>
    <w:rsid w:val="0018211E"/>
    <w:rsid w:val="0018275D"/>
    <w:rsid w:val="00187DDA"/>
    <w:rsid w:val="00192838"/>
    <w:rsid w:val="0019465B"/>
    <w:rsid w:val="001A0046"/>
    <w:rsid w:val="001A1810"/>
    <w:rsid w:val="001A2859"/>
    <w:rsid w:val="001A329B"/>
    <w:rsid w:val="001B0D95"/>
    <w:rsid w:val="001D0152"/>
    <w:rsid w:val="001D1A21"/>
    <w:rsid w:val="001E3316"/>
    <w:rsid w:val="001E3945"/>
    <w:rsid w:val="001E5DF4"/>
    <w:rsid w:val="001E616C"/>
    <w:rsid w:val="001E6228"/>
    <w:rsid w:val="001F23A4"/>
    <w:rsid w:val="001F37D1"/>
    <w:rsid w:val="001F7F7B"/>
    <w:rsid w:val="00200113"/>
    <w:rsid w:val="00202D25"/>
    <w:rsid w:val="002109BA"/>
    <w:rsid w:val="00214044"/>
    <w:rsid w:val="00217617"/>
    <w:rsid w:val="0022450B"/>
    <w:rsid w:val="00230E47"/>
    <w:rsid w:val="0023215A"/>
    <w:rsid w:val="0024260D"/>
    <w:rsid w:val="0024520B"/>
    <w:rsid w:val="002460C4"/>
    <w:rsid w:val="002520D0"/>
    <w:rsid w:val="00254902"/>
    <w:rsid w:val="002554DB"/>
    <w:rsid w:val="00255A7B"/>
    <w:rsid w:val="0026092B"/>
    <w:rsid w:val="00266B55"/>
    <w:rsid w:val="00267728"/>
    <w:rsid w:val="00270A06"/>
    <w:rsid w:val="00287B30"/>
    <w:rsid w:val="002A1F1C"/>
    <w:rsid w:val="002B7774"/>
    <w:rsid w:val="002C356D"/>
    <w:rsid w:val="002C638C"/>
    <w:rsid w:val="002D3C75"/>
    <w:rsid w:val="002D490E"/>
    <w:rsid w:val="002D5C3C"/>
    <w:rsid w:val="002D7B46"/>
    <w:rsid w:val="002E3D94"/>
    <w:rsid w:val="002E6F38"/>
    <w:rsid w:val="002F01C7"/>
    <w:rsid w:val="002F2EF8"/>
    <w:rsid w:val="002F5045"/>
    <w:rsid w:val="0031122A"/>
    <w:rsid w:val="00312043"/>
    <w:rsid w:val="003237EB"/>
    <w:rsid w:val="0032459F"/>
    <w:rsid w:val="00327EC9"/>
    <w:rsid w:val="00330FE9"/>
    <w:rsid w:val="003322B9"/>
    <w:rsid w:val="00337D8F"/>
    <w:rsid w:val="0034216F"/>
    <w:rsid w:val="00342926"/>
    <w:rsid w:val="00342E11"/>
    <w:rsid w:val="0034602F"/>
    <w:rsid w:val="00346561"/>
    <w:rsid w:val="00356D5C"/>
    <w:rsid w:val="00363A6B"/>
    <w:rsid w:val="00365DFB"/>
    <w:rsid w:val="0037366D"/>
    <w:rsid w:val="0037496F"/>
    <w:rsid w:val="00375256"/>
    <w:rsid w:val="003766C7"/>
    <w:rsid w:val="00376C8C"/>
    <w:rsid w:val="00397434"/>
    <w:rsid w:val="003A5620"/>
    <w:rsid w:val="003A592F"/>
    <w:rsid w:val="003B3DA2"/>
    <w:rsid w:val="003C1906"/>
    <w:rsid w:val="003C7659"/>
    <w:rsid w:val="003E6E3A"/>
    <w:rsid w:val="003F7885"/>
    <w:rsid w:val="004010FE"/>
    <w:rsid w:val="00406457"/>
    <w:rsid w:val="004235B9"/>
    <w:rsid w:val="00423B38"/>
    <w:rsid w:val="00425B0F"/>
    <w:rsid w:val="0044379D"/>
    <w:rsid w:val="0044707C"/>
    <w:rsid w:val="00452878"/>
    <w:rsid w:val="00452DEE"/>
    <w:rsid w:val="004544A6"/>
    <w:rsid w:val="0045628E"/>
    <w:rsid w:val="004563D4"/>
    <w:rsid w:val="00466A7A"/>
    <w:rsid w:val="004724B8"/>
    <w:rsid w:val="00472B14"/>
    <w:rsid w:val="00474428"/>
    <w:rsid w:val="00475C8B"/>
    <w:rsid w:val="00476499"/>
    <w:rsid w:val="00481ACF"/>
    <w:rsid w:val="00481F70"/>
    <w:rsid w:val="0048501C"/>
    <w:rsid w:val="00486D97"/>
    <w:rsid w:val="004A48EB"/>
    <w:rsid w:val="004A7E96"/>
    <w:rsid w:val="004B2FC9"/>
    <w:rsid w:val="004B59FB"/>
    <w:rsid w:val="004C0B8B"/>
    <w:rsid w:val="004C18D7"/>
    <w:rsid w:val="004C3502"/>
    <w:rsid w:val="004C6813"/>
    <w:rsid w:val="004C794F"/>
    <w:rsid w:val="004D12E8"/>
    <w:rsid w:val="004D1E47"/>
    <w:rsid w:val="004D545A"/>
    <w:rsid w:val="004E111D"/>
    <w:rsid w:val="004E1B52"/>
    <w:rsid w:val="004E4B7F"/>
    <w:rsid w:val="004E597E"/>
    <w:rsid w:val="004F141A"/>
    <w:rsid w:val="004F4F57"/>
    <w:rsid w:val="00504990"/>
    <w:rsid w:val="0050562D"/>
    <w:rsid w:val="00506699"/>
    <w:rsid w:val="00511599"/>
    <w:rsid w:val="005145DD"/>
    <w:rsid w:val="0051710C"/>
    <w:rsid w:val="0052410F"/>
    <w:rsid w:val="00533E34"/>
    <w:rsid w:val="005375E2"/>
    <w:rsid w:val="00546948"/>
    <w:rsid w:val="00560065"/>
    <w:rsid w:val="005622F8"/>
    <w:rsid w:val="0056765A"/>
    <w:rsid w:val="00573483"/>
    <w:rsid w:val="00573751"/>
    <w:rsid w:val="00573FD7"/>
    <w:rsid w:val="005740FF"/>
    <w:rsid w:val="005A420A"/>
    <w:rsid w:val="005A7FAB"/>
    <w:rsid w:val="005B318C"/>
    <w:rsid w:val="005B5F0E"/>
    <w:rsid w:val="005B6134"/>
    <w:rsid w:val="005D5310"/>
    <w:rsid w:val="005D61BB"/>
    <w:rsid w:val="005D6CCD"/>
    <w:rsid w:val="005E3468"/>
    <w:rsid w:val="005E3F5A"/>
    <w:rsid w:val="005F7647"/>
    <w:rsid w:val="005F7CB0"/>
    <w:rsid w:val="00605C87"/>
    <w:rsid w:val="00612F4B"/>
    <w:rsid w:val="00617F8D"/>
    <w:rsid w:val="00622A75"/>
    <w:rsid w:val="00622F0D"/>
    <w:rsid w:val="006247FF"/>
    <w:rsid w:val="00631774"/>
    <w:rsid w:val="0064333F"/>
    <w:rsid w:val="006449B7"/>
    <w:rsid w:val="006577BB"/>
    <w:rsid w:val="0065796E"/>
    <w:rsid w:val="006607E1"/>
    <w:rsid w:val="0066124A"/>
    <w:rsid w:val="00663079"/>
    <w:rsid w:val="00670F92"/>
    <w:rsid w:val="00671D46"/>
    <w:rsid w:val="00675F0C"/>
    <w:rsid w:val="006813C5"/>
    <w:rsid w:val="00681F62"/>
    <w:rsid w:val="006822BD"/>
    <w:rsid w:val="006866F7"/>
    <w:rsid w:val="00686AA4"/>
    <w:rsid w:val="00687F13"/>
    <w:rsid w:val="006A1068"/>
    <w:rsid w:val="006A1339"/>
    <w:rsid w:val="006C0F4D"/>
    <w:rsid w:val="006C5587"/>
    <w:rsid w:val="006D549A"/>
    <w:rsid w:val="006D54B3"/>
    <w:rsid w:val="006F3E59"/>
    <w:rsid w:val="006F4000"/>
    <w:rsid w:val="006F599E"/>
    <w:rsid w:val="007025CF"/>
    <w:rsid w:val="007036BF"/>
    <w:rsid w:val="0071389E"/>
    <w:rsid w:val="00714FBA"/>
    <w:rsid w:val="007206E5"/>
    <w:rsid w:val="00722A8A"/>
    <w:rsid w:val="00732136"/>
    <w:rsid w:val="00733793"/>
    <w:rsid w:val="007341E2"/>
    <w:rsid w:val="00737473"/>
    <w:rsid w:val="00737E6D"/>
    <w:rsid w:val="007423E3"/>
    <w:rsid w:val="00746770"/>
    <w:rsid w:val="00753E15"/>
    <w:rsid w:val="00757141"/>
    <w:rsid w:val="00760C42"/>
    <w:rsid w:val="00761180"/>
    <w:rsid w:val="007670FB"/>
    <w:rsid w:val="00772C02"/>
    <w:rsid w:val="0078483A"/>
    <w:rsid w:val="00785C0F"/>
    <w:rsid w:val="0079285E"/>
    <w:rsid w:val="00796A94"/>
    <w:rsid w:val="007A4AC5"/>
    <w:rsid w:val="007B36EE"/>
    <w:rsid w:val="007B4D76"/>
    <w:rsid w:val="007B760B"/>
    <w:rsid w:val="007C077A"/>
    <w:rsid w:val="007D6374"/>
    <w:rsid w:val="007E0775"/>
    <w:rsid w:val="007E1671"/>
    <w:rsid w:val="007F54A5"/>
    <w:rsid w:val="008003D2"/>
    <w:rsid w:val="00803019"/>
    <w:rsid w:val="00803B62"/>
    <w:rsid w:val="0080527F"/>
    <w:rsid w:val="00805303"/>
    <w:rsid w:val="00814F56"/>
    <w:rsid w:val="008167E6"/>
    <w:rsid w:val="00817806"/>
    <w:rsid w:val="00822370"/>
    <w:rsid w:val="00825600"/>
    <w:rsid w:val="008259A0"/>
    <w:rsid w:val="00826CD1"/>
    <w:rsid w:val="00827055"/>
    <w:rsid w:val="00827FF2"/>
    <w:rsid w:val="0083300B"/>
    <w:rsid w:val="00835597"/>
    <w:rsid w:val="00842B71"/>
    <w:rsid w:val="008562E6"/>
    <w:rsid w:val="0086356C"/>
    <w:rsid w:val="008737B7"/>
    <w:rsid w:val="00880FA5"/>
    <w:rsid w:val="00890B73"/>
    <w:rsid w:val="00895D5B"/>
    <w:rsid w:val="008A246A"/>
    <w:rsid w:val="008A3062"/>
    <w:rsid w:val="008B1A1A"/>
    <w:rsid w:val="008B1BAB"/>
    <w:rsid w:val="008B30B2"/>
    <w:rsid w:val="008B525E"/>
    <w:rsid w:val="008B533A"/>
    <w:rsid w:val="008B5F1A"/>
    <w:rsid w:val="008D4DE6"/>
    <w:rsid w:val="008D5B0F"/>
    <w:rsid w:val="008D7724"/>
    <w:rsid w:val="008E5574"/>
    <w:rsid w:val="008E5CF3"/>
    <w:rsid w:val="008E7698"/>
    <w:rsid w:val="008E7F05"/>
    <w:rsid w:val="008F75F3"/>
    <w:rsid w:val="00900560"/>
    <w:rsid w:val="00902602"/>
    <w:rsid w:val="00913843"/>
    <w:rsid w:val="00921BE6"/>
    <w:rsid w:val="009248C2"/>
    <w:rsid w:val="00925951"/>
    <w:rsid w:val="00926BF4"/>
    <w:rsid w:val="009327CC"/>
    <w:rsid w:val="00937851"/>
    <w:rsid w:val="00937B0D"/>
    <w:rsid w:val="009456D2"/>
    <w:rsid w:val="00951317"/>
    <w:rsid w:val="00957613"/>
    <w:rsid w:val="0096213B"/>
    <w:rsid w:val="00964E6B"/>
    <w:rsid w:val="009652D1"/>
    <w:rsid w:val="0097094E"/>
    <w:rsid w:val="00973C33"/>
    <w:rsid w:val="009777D7"/>
    <w:rsid w:val="009831C7"/>
    <w:rsid w:val="00985B9C"/>
    <w:rsid w:val="009914DB"/>
    <w:rsid w:val="009A28BE"/>
    <w:rsid w:val="009A5BE9"/>
    <w:rsid w:val="009B16DD"/>
    <w:rsid w:val="009C19B1"/>
    <w:rsid w:val="009C264D"/>
    <w:rsid w:val="009C5095"/>
    <w:rsid w:val="009D23D4"/>
    <w:rsid w:val="009D75EE"/>
    <w:rsid w:val="009E00DD"/>
    <w:rsid w:val="009E6028"/>
    <w:rsid w:val="009F6162"/>
    <w:rsid w:val="00A00CA1"/>
    <w:rsid w:val="00A0217A"/>
    <w:rsid w:val="00A0360D"/>
    <w:rsid w:val="00A037BE"/>
    <w:rsid w:val="00A06553"/>
    <w:rsid w:val="00A13CC3"/>
    <w:rsid w:val="00A1670F"/>
    <w:rsid w:val="00A23912"/>
    <w:rsid w:val="00A3229B"/>
    <w:rsid w:val="00A375B4"/>
    <w:rsid w:val="00A52F34"/>
    <w:rsid w:val="00A574FE"/>
    <w:rsid w:val="00A611EB"/>
    <w:rsid w:val="00A814D4"/>
    <w:rsid w:val="00A90167"/>
    <w:rsid w:val="00A91CA5"/>
    <w:rsid w:val="00A97AD8"/>
    <w:rsid w:val="00AA2DAC"/>
    <w:rsid w:val="00AA6AC0"/>
    <w:rsid w:val="00AA7AAF"/>
    <w:rsid w:val="00AB0C6D"/>
    <w:rsid w:val="00AB0F7C"/>
    <w:rsid w:val="00AC1CBD"/>
    <w:rsid w:val="00AD176A"/>
    <w:rsid w:val="00AE0A8D"/>
    <w:rsid w:val="00AE6B4F"/>
    <w:rsid w:val="00AF0B6B"/>
    <w:rsid w:val="00AF5576"/>
    <w:rsid w:val="00B0305D"/>
    <w:rsid w:val="00B05289"/>
    <w:rsid w:val="00B06AE4"/>
    <w:rsid w:val="00B06C79"/>
    <w:rsid w:val="00B10DEB"/>
    <w:rsid w:val="00B17598"/>
    <w:rsid w:val="00B22639"/>
    <w:rsid w:val="00B30B00"/>
    <w:rsid w:val="00B414E7"/>
    <w:rsid w:val="00B43102"/>
    <w:rsid w:val="00B440FA"/>
    <w:rsid w:val="00B530A6"/>
    <w:rsid w:val="00B6167E"/>
    <w:rsid w:val="00B64546"/>
    <w:rsid w:val="00B7038E"/>
    <w:rsid w:val="00B70A77"/>
    <w:rsid w:val="00B7486E"/>
    <w:rsid w:val="00B86C75"/>
    <w:rsid w:val="00B91EE2"/>
    <w:rsid w:val="00B9264D"/>
    <w:rsid w:val="00B93ADB"/>
    <w:rsid w:val="00B9675F"/>
    <w:rsid w:val="00BA642D"/>
    <w:rsid w:val="00BB2989"/>
    <w:rsid w:val="00BB4C3D"/>
    <w:rsid w:val="00BB7BCC"/>
    <w:rsid w:val="00BC00CA"/>
    <w:rsid w:val="00BC73FC"/>
    <w:rsid w:val="00BD4536"/>
    <w:rsid w:val="00BD5422"/>
    <w:rsid w:val="00BD62F1"/>
    <w:rsid w:val="00BE5BF1"/>
    <w:rsid w:val="00BF2CC8"/>
    <w:rsid w:val="00BF7D60"/>
    <w:rsid w:val="00C00EA3"/>
    <w:rsid w:val="00C01D27"/>
    <w:rsid w:val="00C046A5"/>
    <w:rsid w:val="00C06E47"/>
    <w:rsid w:val="00C215BF"/>
    <w:rsid w:val="00C34F98"/>
    <w:rsid w:val="00C3520F"/>
    <w:rsid w:val="00C3794E"/>
    <w:rsid w:val="00C41EB4"/>
    <w:rsid w:val="00C53BCE"/>
    <w:rsid w:val="00C55921"/>
    <w:rsid w:val="00C561B8"/>
    <w:rsid w:val="00C63275"/>
    <w:rsid w:val="00C67284"/>
    <w:rsid w:val="00C7262E"/>
    <w:rsid w:val="00C802CA"/>
    <w:rsid w:val="00C83180"/>
    <w:rsid w:val="00C8357A"/>
    <w:rsid w:val="00C91BEC"/>
    <w:rsid w:val="00CB7087"/>
    <w:rsid w:val="00CC1078"/>
    <w:rsid w:val="00CC4161"/>
    <w:rsid w:val="00CD0757"/>
    <w:rsid w:val="00CD2BF0"/>
    <w:rsid w:val="00CD7B22"/>
    <w:rsid w:val="00CE221E"/>
    <w:rsid w:val="00CE2FD2"/>
    <w:rsid w:val="00CE7FDC"/>
    <w:rsid w:val="00D02064"/>
    <w:rsid w:val="00D03572"/>
    <w:rsid w:val="00D154B2"/>
    <w:rsid w:val="00D24DD6"/>
    <w:rsid w:val="00D259B2"/>
    <w:rsid w:val="00D3073A"/>
    <w:rsid w:val="00D405AD"/>
    <w:rsid w:val="00D42D93"/>
    <w:rsid w:val="00D43229"/>
    <w:rsid w:val="00D52C2F"/>
    <w:rsid w:val="00D53E1B"/>
    <w:rsid w:val="00D548B2"/>
    <w:rsid w:val="00D54C1A"/>
    <w:rsid w:val="00D573A2"/>
    <w:rsid w:val="00D60B34"/>
    <w:rsid w:val="00D72742"/>
    <w:rsid w:val="00D75C69"/>
    <w:rsid w:val="00D8160C"/>
    <w:rsid w:val="00D853C5"/>
    <w:rsid w:val="00D87065"/>
    <w:rsid w:val="00D910A5"/>
    <w:rsid w:val="00D93CE3"/>
    <w:rsid w:val="00D96888"/>
    <w:rsid w:val="00D9766A"/>
    <w:rsid w:val="00DA5D45"/>
    <w:rsid w:val="00DA641F"/>
    <w:rsid w:val="00DB4358"/>
    <w:rsid w:val="00DB6009"/>
    <w:rsid w:val="00DD2C47"/>
    <w:rsid w:val="00DE176E"/>
    <w:rsid w:val="00DE1798"/>
    <w:rsid w:val="00DE33A1"/>
    <w:rsid w:val="00DE5119"/>
    <w:rsid w:val="00DF36E5"/>
    <w:rsid w:val="00DF52FD"/>
    <w:rsid w:val="00E13052"/>
    <w:rsid w:val="00E15F66"/>
    <w:rsid w:val="00E24663"/>
    <w:rsid w:val="00E2572C"/>
    <w:rsid w:val="00E258B4"/>
    <w:rsid w:val="00E260E7"/>
    <w:rsid w:val="00E27128"/>
    <w:rsid w:val="00E30D8F"/>
    <w:rsid w:val="00E31D85"/>
    <w:rsid w:val="00E32047"/>
    <w:rsid w:val="00E41B6A"/>
    <w:rsid w:val="00E44650"/>
    <w:rsid w:val="00E4592C"/>
    <w:rsid w:val="00E50419"/>
    <w:rsid w:val="00E51AE7"/>
    <w:rsid w:val="00E540F6"/>
    <w:rsid w:val="00E550B8"/>
    <w:rsid w:val="00E61BB9"/>
    <w:rsid w:val="00E637C9"/>
    <w:rsid w:val="00E665BE"/>
    <w:rsid w:val="00E745BE"/>
    <w:rsid w:val="00E9067F"/>
    <w:rsid w:val="00E93848"/>
    <w:rsid w:val="00E94148"/>
    <w:rsid w:val="00E9525D"/>
    <w:rsid w:val="00E976ED"/>
    <w:rsid w:val="00EA1348"/>
    <w:rsid w:val="00EA3C73"/>
    <w:rsid w:val="00EB7860"/>
    <w:rsid w:val="00EC2AC8"/>
    <w:rsid w:val="00EC3A30"/>
    <w:rsid w:val="00EC45DB"/>
    <w:rsid w:val="00ED1D30"/>
    <w:rsid w:val="00ED2258"/>
    <w:rsid w:val="00EF0CC9"/>
    <w:rsid w:val="00EF3E18"/>
    <w:rsid w:val="00EF67AB"/>
    <w:rsid w:val="00F00AC0"/>
    <w:rsid w:val="00F06FF0"/>
    <w:rsid w:val="00F22392"/>
    <w:rsid w:val="00F22B11"/>
    <w:rsid w:val="00F25A0B"/>
    <w:rsid w:val="00F26713"/>
    <w:rsid w:val="00F304A1"/>
    <w:rsid w:val="00F36369"/>
    <w:rsid w:val="00F3765D"/>
    <w:rsid w:val="00F37BD9"/>
    <w:rsid w:val="00F50EBD"/>
    <w:rsid w:val="00F55C8F"/>
    <w:rsid w:val="00F6647C"/>
    <w:rsid w:val="00F667A7"/>
    <w:rsid w:val="00F67139"/>
    <w:rsid w:val="00F674B3"/>
    <w:rsid w:val="00F7172D"/>
    <w:rsid w:val="00F72B75"/>
    <w:rsid w:val="00F85DE4"/>
    <w:rsid w:val="00F95E1C"/>
    <w:rsid w:val="00F969DC"/>
    <w:rsid w:val="00F9722A"/>
    <w:rsid w:val="00F972E8"/>
    <w:rsid w:val="00FA04BE"/>
    <w:rsid w:val="00FA08A2"/>
    <w:rsid w:val="00FC1891"/>
    <w:rsid w:val="00FD493D"/>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4D33"/>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DA"/>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1">
    <w:name w:val="Unresolved Mention1"/>
    <w:basedOn w:val="DefaultParagraphFont"/>
    <w:uiPriority w:val="99"/>
    <w:semiHidden/>
    <w:unhideWhenUsed/>
    <w:rsid w:val="0083300B"/>
    <w:rPr>
      <w:color w:val="605E5C"/>
      <w:shd w:val="clear" w:color="auto" w:fill="E1DFDD"/>
    </w:rPr>
  </w:style>
  <w:style w:type="character" w:customStyle="1" w:styleId="UnresolvedMention2">
    <w:name w:val="Unresolved Mention2"/>
    <w:basedOn w:val="DefaultParagraphFont"/>
    <w:uiPriority w:val="99"/>
    <w:semiHidden/>
    <w:unhideWhenUsed/>
    <w:rsid w:val="00BF7D60"/>
    <w:rPr>
      <w:color w:val="605E5C"/>
      <w:shd w:val="clear" w:color="auto" w:fill="E1DFDD"/>
    </w:rPr>
  </w:style>
  <w:style w:type="character" w:styleId="FollowedHyperlink">
    <w:name w:val="FollowedHyperlink"/>
    <w:basedOn w:val="DefaultParagraphFont"/>
    <w:uiPriority w:val="99"/>
    <w:semiHidden/>
    <w:unhideWhenUsed/>
    <w:rsid w:val="008D4DE6"/>
    <w:rPr>
      <w:color w:val="800080" w:themeColor="followedHyperlink"/>
      <w:u w:val="single"/>
    </w:rPr>
  </w:style>
  <w:style w:type="character" w:styleId="UnresolvedMention">
    <w:name w:val="Unresolved Mention"/>
    <w:basedOn w:val="DefaultParagraphFont"/>
    <w:uiPriority w:val="99"/>
    <w:semiHidden/>
    <w:unhideWhenUsed/>
    <w:rsid w:val="00E637C9"/>
    <w:rPr>
      <w:color w:val="605E5C"/>
      <w:shd w:val="clear" w:color="auto" w:fill="E1DFDD"/>
    </w:rPr>
  </w:style>
  <w:style w:type="paragraph" w:styleId="FootnoteText">
    <w:name w:val="footnote text"/>
    <w:basedOn w:val="Normal"/>
    <w:link w:val="FootnoteTextChar"/>
    <w:uiPriority w:val="99"/>
    <w:semiHidden/>
    <w:unhideWhenUsed/>
    <w:rsid w:val="00B05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289"/>
    <w:rPr>
      <w:sz w:val="20"/>
      <w:szCs w:val="20"/>
    </w:rPr>
  </w:style>
  <w:style w:type="character" w:styleId="FootnoteReference">
    <w:name w:val="footnote reference"/>
    <w:basedOn w:val="DefaultParagraphFont"/>
    <w:uiPriority w:val="99"/>
    <w:semiHidden/>
    <w:unhideWhenUsed/>
    <w:rsid w:val="00B05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28074307">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889652037">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16931524">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rkon@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UACI@um.dk" TargetMode="External"/><Relationship Id="rId4" Type="http://schemas.openxmlformats.org/officeDocument/2006/relationships/styles" Target="styles.xml"/><Relationship Id="rId9" Type="http://schemas.openxmlformats.org/officeDocument/2006/relationships/hyperlink" Target="https://www.kmu.gov.ua/diyalnist/mizhnarodna-dopomoga/pereliki-zareyestrovanih-proektiv-z-planami-zakupive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Props1.xml><?xml version="1.0" encoding="utf-8"?>
<ds:datastoreItem xmlns:ds="http://schemas.openxmlformats.org/officeDocument/2006/customXml" ds:itemID="{052C2116-1265-405E-B421-110A541C66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battaries procurement</dc:subject>
  <dc:creator>Serhii Kononenko</dc:creator>
  <cp:lastModifiedBy>Microsoft Office User</cp:lastModifiedBy>
  <cp:revision>3</cp:revision>
  <dcterms:created xsi:type="dcterms:W3CDTF">2025-04-08T09:52:00Z</dcterms:created>
  <dcterms:modified xsi:type="dcterms:W3CDTF">2025-04-08T11:54:00Z</dcterms:modified>
</cp:coreProperties>
</file>