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E948" w14:textId="14B5602A" w:rsidR="004F0CB3" w:rsidRDefault="00AC1403">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0" w:name="_heading=h.gjdgxs" w:colFirst="0" w:colLast="0"/>
      <w:bookmarkEnd w:id="0"/>
      <w:proofErr w:type="spellStart"/>
      <w:r>
        <w:rPr>
          <w:rFonts w:ascii="Verdana" w:eastAsia="Verdana" w:hAnsi="Verdana" w:cs="Verdana"/>
          <w:b/>
          <w:color w:val="000000"/>
          <w:sz w:val="24"/>
          <w:szCs w:val="24"/>
        </w:rPr>
        <w:t>ToR</w:t>
      </w:r>
      <w:proofErr w:type="spellEnd"/>
      <w:r>
        <w:rPr>
          <w:rFonts w:ascii="Verdana" w:eastAsia="Verdana" w:hAnsi="Verdana" w:cs="Verdana"/>
          <w:b/>
          <w:sz w:val="24"/>
          <w:szCs w:val="24"/>
        </w:rPr>
        <w:br/>
        <w:t>Technical Supervision Consultanc</w:t>
      </w:r>
      <w:r w:rsidR="0076399F">
        <w:rPr>
          <w:rFonts w:ascii="Verdana" w:eastAsia="Verdana" w:hAnsi="Verdana" w:cs="Verdana"/>
          <w:b/>
          <w:sz w:val="24"/>
          <w:szCs w:val="24"/>
        </w:rPr>
        <w:t>y</w:t>
      </w:r>
      <w:r>
        <w:rPr>
          <w:rFonts w:ascii="Verdana" w:eastAsia="Verdana" w:hAnsi="Verdana" w:cs="Verdana"/>
          <w:b/>
          <w:sz w:val="24"/>
          <w:szCs w:val="24"/>
        </w:rPr>
        <w:t xml:space="preserve"> Services</w:t>
      </w:r>
    </w:p>
    <w:p w14:paraId="021837EA" w14:textId="77777777" w:rsidR="004F0CB3" w:rsidRDefault="00AC1403">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bookmarkStart w:id="1" w:name="_heading=h.o9levk9z806e" w:colFirst="0" w:colLast="0"/>
      <w:bookmarkEnd w:id="1"/>
      <w:r>
        <w:rPr>
          <w:rFonts w:ascii="Verdana" w:eastAsia="Verdana" w:hAnsi="Verdana" w:cs="Verdana"/>
          <w:b/>
          <w:sz w:val="24"/>
          <w:szCs w:val="24"/>
        </w:rPr>
        <w:t>for Integrity Cities</w:t>
      </w:r>
    </w:p>
    <w:p w14:paraId="7625CDCB" w14:textId="77777777" w:rsidR="004F0CB3" w:rsidRDefault="00AC1403">
      <w:pPr>
        <w:spacing w:after="0" w:line="240" w:lineRule="auto"/>
        <w:ind w:left="-540" w:right="-450"/>
        <w:jc w:val="both"/>
        <w:rPr>
          <w:rFonts w:ascii="Verdana" w:eastAsia="Verdana" w:hAnsi="Verdana" w:cs="Verdana"/>
          <w:b/>
          <w:sz w:val="20"/>
          <w:szCs w:val="20"/>
        </w:rPr>
      </w:pPr>
      <w:r>
        <w:rPr>
          <w:rFonts w:ascii="Verdana" w:eastAsia="Verdana" w:hAnsi="Verdana" w:cs="Verdana"/>
          <w:b/>
          <w:sz w:val="20"/>
          <w:szCs w:val="20"/>
        </w:rPr>
        <w:t>Introduction</w:t>
      </w:r>
    </w:p>
    <w:p w14:paraId="2354D106" w14:textId="77777777" w:rsidR="004F0CB3" w:rsidRDefault="004F0CB3">
      <w:pPr>
        <w:spacing w:after="0" w:line="240" w:lineRule="auto"/>
        <w:ind w:left="-540" w:right="-450"/>
        <w:jc w:val="both"/>
        <w:rPr>
          <w:rFonts w:ascii="Verdana" w:eastAsia="Verdana" w:hAnsi="Verdana" w:cs="Verdana"/>
          <w:sz w:val="20"/>
          <w:szCs w:val="20"/>
        </w:rPr>
      </w:pPr>
    </w:p>
    <w:p w14:paraId="07E3895B" w14:textId="5A20A000" w:rsidR="004F0CB3" w:rsidRDefault="00AC1403">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The European Union Anti-Corruption Initiative (EUACI) seeks a </w:t>
      </w:r>
      <w:r>
        <w:rPr>
          <w:rFonts w:ascii="Verdana" w:eastAsia="Verdana" w:hAnsi="Verdana" w:cs="Verdana"/>
          <w:b/>
          <w:sz w:val="20"/>
          <w:szCs w:val="20"/>
        </w:rPr>
        <w:t>Technical Supervision Consultancy Service for Integrity Cities</w:t>
      </w:r>
      <w:r>
        <w:rPr>
          <w:rFonts w:ascii="Verdana" w:eastAsia="Verdana" w:hAnsi="Verdana" w:cs="Verdana"/>
          <w:sz w:val="20"/>
          <w:szCs w:val="20"/>
        </w:rPr>
        <w:t xml:space="preserve"> (a team of two experts — a Technical Supervision Consultant and a Legal Expert) to support the improvement of technical supervision processes in three partner cities — Chernivtsi, Zhytomyr, and Mykolaiv — under the framework of its Integrity Cities </w:t>
      </w:r>
      <w:r w:rsidR="0076399F">
        <w:rPr>
          <w:rFonts w:ascii="Verdana" w:eastAsia="Verdana" w:hAnsi="Verdana" w:cs="Verdana"/>
          <w:sz w:val="20"/>
          <w:szCs w:val="20"/>
        </w:rPr>
        <w:t>C</w:t>
      </w:r>
      <w:r>
        <w:rPr>
          <w:rFonts w:ascii="Verdana" w:eastAsia="Verdana" w:hAnsi="Verdana" w:cs="Verdana"/>
          <w:sz w:val="20"/>
          <w:szCs w:val="20"/>
        </w:rPr>
        <w:t>omponent.</w:t>
      </w:r>
    </w:p>
    <w:p w14:paraId="3F19280C" w14:textId="77777777" w:rsidR="004F0CB3" w:rsidRDefault="004F0CB3">
      <w:pPr>
        <w:spacing w:after="0" w:line="240" w:lineRule="auto"/>
        <w:ind w:left="-540" w:right="-450"/>
        <w:jc w:val="both"/>
        <w:rPr>
          <w:rFonts w:ascii="Verdana" w:eastAsia="Verdana" w:hAnsi="Verdana" w:cs="Verdana"/>
          <w:sz w:val="20"/>
          <w:szCs w:val="20"/>
        </w:rPr>
      </w:pPr>
    </w:p>
    <w:p w14:paraId="432232D8" w14:textId="51F0C9CE" w:rsidR="004F0CB3" w:rsidRDefault="00AC1403">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The Technical Supervision Consultant will play a key role in guiding cities through the </w:t>
      </w:r>
      <w:proofErr w:type="spellStart"/>
      <w:r>
        <w:rPr>
          <w:rFonts w:ascii="Verdana" w:eastAsia="Verdana" w:hAnsi="Verdana" w:cs="Verdana"/>
          <w:sz w:val="20"/>
          <w:szCs w:val="20"/>
        </w:rPr>
        <w:t>formalisation</w:t>
      </w:r>
      <w:proofErr w:type="spellEnd"/>
      <w:r>
        <w:rPr>
          <w:rFonts w:ascii="Verdana" w:eastAsia="Verdana" w:hAnsi="Verdana" w:cs="Verdana"/>
          <w:sz w:val="20"/>
          <w:szCs w:val="20"/>
        </w:rPr>
        <w:t xml:space="preserve"> and </w:t>
      </w:r>
      <w:proofErr w:type="spellStart"/>
      <w:r>
        <w:rPr>
          <w:rFonts w:ascii="Verdana" w:eastAsia="Verdana" w:hAnsi="Verdana" w:cs="Verdana"/>
          <w:sz w:val="20"/>
          <w:szCs w:val="20"/>
        </w:rPr>
        <w:t>standardisation</w:t>
      </w:r>
      <w:proofErr w:type="spellEnd"/>
      <w:r>
        <w:rPr>
          <w:rFonts w:ascii="Verdana" w:eastAsia="Verdana" w:hAnsi="Verdana" w:cs="Verdana"/>
          <w:sz w:val="20"/>
          <w:szCs w:val="20"/>
        </w:rPr>
        <w:t xml:space="preserve"> of technical supervision procedures, drafting technical and methodological documents, and providing advisory support during the implementation of Roadmaps for Improving Technical Supervision Processes. The Legal Expert will provide legal analysis, assist in drafting and reviewing</w:t>
      </w:r>
      <w:r w:rsidR="0076399F">
        <w:rPr>
          <w:rFonts w:ascii="Verdana" w:eastAsia="Verdana" w:hAnsi="Verdana" w:cs="Verdana"/>
          <w:sz w:val="20"/>
          <w:szCs w:val="20"/>
        </w:rPr>
        <w:t xml:space="preserve"> local</w:t>
      </w:r>
      <w:r>
        <w:rPr>
          <w:rFonts w:ascii="Verdana" w:eastAsia="Verdana" w:hAnsi="Verdana" w:cs="Verdana"/>
          <w:sz w:val="20"/>
          <w:szCs w:val="20"/>
        </w:rPr>
        <w:t xml:space="preserve"> normative documents, ensure alignment with Ukrainian legislation, and support the legal </w:t>
      </w:r>
      <w:proofErr w:type="spellStart"/>
      <w:r>
        <w:rPr>
          <w:rFonts w:ascii="Verdana" w:eastAsia="Verdana" w:hAnsi="Verdana" w:cs="Verdana"/>
          <w:sz w:val="20"/>
          <w:szCs w:val="20"/>
        </w:rPr>
        <w:t>formalisation</w:t>
      </w:r>
      <w:proofErr w:type="spellEnd"/>
      <w:r>
        <w:rPr>
          <w:rFonts w:ascii="Verdana" w:eastAsia="Verdana" w:hAnsi="Verdana" w:cs="Verdana"/>
          <w:sz w:val="20"/>
          <w:szCs w:val="20"/>
        </w:rPr>
        <w:t xml:space="preserve"> of new procedures and processes. This work will be based on the findings of the Reports on the</w:t>
      </w:r>
      <w:r w:rsidR="0076399F">
        <w:rPr>
          <w:rFonts w:ascii="Verdana" w:eastAsia="Verdana" w:hAnsi="Verdana" w:cs="Verdana"/>
          <w:sz w:val="20"/>
          <w:szCs w:val="20"/>
        </w:rPr>
        <w:t xml:space="preserve"> corruption risks assessment in</w:t>
      </w:r>
      <w:r>
        <w:rPr>
          <w:rFonts w:ascii="Verdana" w:eastAsia="Verdana" w:hAnsi="Verdana" w:cs="Verdana"/>
          <w:sz w:val="20"/>
          <w:szCs w:val="20"/>
        </w:rPr>
        <w:t xml:space="preserve"> technical supervision processes already conducted in these cities</w:t>
      </w:r>
      <w:r w:rsidR="007911F5">
        <w:rPr>
          <w:rFonts w:ascii="Verdana" w:eastAsia="Verdana" w:hAnsi="Verdana" w:cs="Verdana"/>
          <w:sz w:val="20"/>
          <w:szCs w:val="20"/>
        </w:rPr>
        <w:t>.</w:t>
      </w:r>
    </w:p>
    <w:p w14:paraId="1205642F" w14:textId="77777777" w:rsidR="004F0CB3" w:rsidRDefault="004F0CB3">
      <w:pPr>
        <w:spacing w:after="0" w:line="240" w:lineRule="auto"/>
        <w:ind w:left="-540" w:right="-450"/>
        <w:jc w:val="both"/>
        <w:rPr>
          <w:rFonts w:ascii="Verdana" w:eastAsia="Verdana" w:hAnsi="Verdana" w:cs="Verdana"/>
          <w:sz w:val="20"/>
          <w:szCs w:val="20"/>
        </w:rPr>
      </w:pPr>
    </w:p>
    <w:p w14:paraId="73E11F23" w14:textId="77777777" w:rsidR="004F0CB3" w:rsidRDefault="00AC1403">
      <w:pPr>
        <w:spacing w:after="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This </w:t>
      </w:r>
      <w:proofErr w:type="spellStart"/>
      <w:r>
        <w:rPr>
          <w:rFonts w:ascii="Verdana" w:eastAsia="Verdana" w:hAnsi="Verdana" w:cs="Verdana"/>
          <w:sz w:val="20"/>
          <w:szCs w:val="20"/>
        </w:rPr>
        <w:t>ToR</w:t>
      </w:r>
      <w:proofErr w:type="spellEnd"/>
      <w:r>
        <w:rPr>
          <w:rFonts w:ascii="Verdana" w:eastAsia="Verdana" w:hAnsi="Verdana" w:cs="Verdana"/>
          <w:sz w:val="20"/>
          <w:szCs w:val="20"/>
        </w:rPr>
        <w:t xml:space="preserve"> provides further details about the EUACI </w:t>
      </w:r>
      <w:proofErr w:type="spellStart"/>
      <w:r>
        <w:rPr>
          <w:rFonts w:ascii="Verdana" w:eastAsia="Verdana" w:hAnsi="Verdana" w:cs="Verdana"/>
          <w:sz w:val="20"/>
          <w:szCs w:val="20"/>
        </w:rPr>
        <w:t>programme</w:t>
      </w:r>
      <w:proofErr w:type="spellEnd"/>
      <w:r>
        <w:rPr>
          <w:rFonts w:ascii="Verdana" w:eastAsia="Verdana" w:hAnsi="Verdana" w:cs="Verdana"/>
          <w:sz w:val="20"/>
          <w:szCs w:val="20"/>
        </w:rPr>
        <w:t>, the Integrity Cities component, the role of the Contractor and the expected qualifications of candidates interested in this tender.</w:t>
      </w:r>
    </w:p>
    <w:p w14:paraId="1E74672C" w14:textId="77777777" w:rsidR="004F0CB3" w:rsidRDefault="004F0CB3">
      <w:pPr>
        <w:spacing w:after="0" w:line="240" w:lineRule="auto"/>
        <w:ind w:left="-540" w:right="-450"/>
        <w:jc w:val="both"/>
        <w:rPr>
          <w:rFonts w:ascii="Verdana" w:eastAsia="Verdana" w:hAnsi="Verdana" w:cs="Verdana"/>
          <w:sz w:val="20"/>
          <w:szCs w:val="20"/>
        </w:rPr>
      </w:pPr>
    </w:p>
    <w:p w14:paraId="72A6B45C" w14:textId="77777777" w:rsidR="004F0CB3" w:rsidRDefault="00AC1403">
      <w:pPr>
        <w:spacing w:after="0" w:line="240" w:lineRule="auto"/>
        <w:ind w:left="-540" w:right="-450"/>
        <w:jc w:val="both"/>
        <w:rPr>
          <w:rFonts w:ascii="Verdana" w:eastAsia="Verdana" w:hAnsi="Verdana" w:cs="Verdana"/>
          <w:sz w:val="20"/>
          <w:szCs w:val="20"/>
        </w:rPr>
      </w:pPr>
      <w:r>
        <w:rPr>
          <w:rFonts w:ascii="Verdana" w:eastAsia="Verdana" w:hAnsi="Verdana" w:cs="Verdana"/>
          <w:b/>
          <w:sz w:val="20"/>
          <w:szCs w:val="20"/>
        </w:rPr>
        <w:t>The EUACI</w:t>
      </w:r>
    </w:p>
    <w:p w14:paraId="0062222A" w14:textId="77777777" w:rsidR="004F0CB3" w:rsidRDefault="004F0CB3">
      <w:pPr>
        <w:spacing w:after="0" w:line="240" w:lineRule="auto"/>
        <w:ind w:left="-540" w:right="-450"/>
        <w:jc w:val="both"/>
        <w:rPr>
          <w:rFonts w:ascii="Verdana" w:eastAsia="Verdana" w:hAnsi="Verdana" w:cs="Verdana"/>
          <w:sz w:val="20"/>
          <w:szCs w:val="20"/>
        </w:rPr>
      </w:pPr>
    </w:p>
    <w:p w14:paraId="4FC558BC" w14:textId="77777777" w:rsidR="004F0CB3" w:rsidRDefault="00AC1403">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The EUACI is a joint EU and Government of Denmark financed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aimed at supporting Ukraine in its efforts to reduce corruption at the national and local level through the empowerment of citizens, civil society and state institutions. In January 2024, a new phase of the EUACI was launched. The strategic objectives are that: Corruption in Ukraine is reduced; Ukraine advances with anti-corruption reform; and Reconstruction in war-affected areas of Ukraine is implemented within a framework that incorporates transparency, accountability and integrity.</w:t>
      </w:r>
    </w:p>
    <w:p w14:paraId="60E9F5F8" w14:textId="77777777" w:rsidR="004F0CB3" w:rsidRDefault="00AC1403">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The EUACI has four intervention areas, namely:</w:t>
      </w:r>
    </w:p>
    <w:p w14:paraId="0A8E12DF" w14:textId="77777777" w:rsidR="004F0CB3" w:rsidRDefault="00AC1403">
      <w:pPr>
        <w:numPr>
          <w:ilvl w:val="0"/>
          <w:numId w:val="4"/>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to independent state institutions fighting and preventing corruption;</w:t>
      </w:r>
    </w:p>
    <w:p w14:paraId="0776BE72" w14:textId="77777777" w:rsidR="004F0CB3" w:rsidRDefault="00AC1403">
      <w:pPr>
        <w:numPr>
          <w:ilvl w:val="0"/>
          <w:numId w:val="4"/>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Transparency and accountability of the reconstruction process;</w:t>
      </w:r>
    </w:p>
    <w:p w14:paraId="7174CF30" w14:textId="77777777" w:rsidR="004F0CB3" w:rsidRDefault="00AC1403">
      <w:pPr>
        <w:numPr>
          <w:ilvl w:val="0"/>
          <w:numId w:val="4"/>
        </w:numPr>
        <w:spacing w:after="0" w:line="240" w:lineRule="auto"/>
        <w:ind w:right="-450"/>
        <w:jc w:val="both"/>
        <w:rPr>
          <w:rFonts w:ascii="Verdana" w:eastAsia="Verdana" w:hAnsi="Verdana" w:cs="Verdana"/>
          <w:sz w:val="20"/>
          <w:szCs w:val="20"/>
        </w:rPr>
      </w:pPr>
      <w:r>
        <w:rPr>
          <w:rFonts w:ascii="Verdana" w:eastAsia="Verdana" w:hAnsi="Verdana" w:cs="Verdana"/>
          <w:sz w:val="20"/>
          <w:szCs w:val="20"/>
        </w:rPr>
        <w:t>Support cities in war-affected areas in enhancing integrity in the reconstruction process;</w:t>
      </w:r>
    </w:p>
    <w:p w14:paraId="293D51FC" w14:textId="77777777" w:rsidR="004F0CB3" w:rsidRDefault="00AC1403">
      <w:pPr>
        <w:numPr>
          <w:ilvl w:val="0"/>
          <w:numId w:val="4"/>
        </w:numPr>
        <w:spacing w:after="380" w:line="240" w:lineRule="auto"/>
        <w:ind w:right="-450"/>
        <w:jc w:val="both"/>
        <w:rPr>
          <w:rFonts w:ascii="Verdana" w:eastAsia="Verdana" w:hAnsi="Verdana" w:cs="Verdana"/>
          <w:sz w:val="20"/>
          <w:szCs w:val="20"/>
        </w:rPr>
      </w:pPr>
      <w:r>
        <w:rPr>
          <w:rFonts w:ascii="Verdana" w:eastAsia="Verdana" w:hAnsi="Verdana" w:cs="Verdana"/>
          <w:sz w:val="20"/>
          <w:szCs w:val="20"/>
        </w:rPr>
        <w:t>Civil society and media in preventing and fighting corruption.</w:t>
      </w:r>
    </w:p>
    <w:p w14:paraId="307EF99A" w14:textId="77777777" w:rsidR="004F0CB3" w:rsidRDefault="00AC1403">
      <w:pPr>
        <w:spacing w:after="380" w:line="240" w:lineRule="auto"/>
        <w:ind w:left="-540" w:right="-450"/>
        <w:jc w:val="both"/>
        <w:rPr>
          <w:rFonts w:ascii="Verdana" w:eastAsia="Verdana" w:hAnsi="Verdana" w:cs="Verdana"/>
          <w:sz w:val="20"/>
          <w:szCs w:val="20"/>
        </w:rPr>
      </w:pPr>
      <w:r>
        <w:rPr>
          <w:rFonts w:ascii="Verdana" w:eastAsia="Verdana" w:hAnsi="Verdana" w:cs="Verdana"/>
          <w:sz w:val="20"/>
          <w:szCs w:val="20"/>
        </w:rPr>
        <w:t xml:space="preserve">This tender falls under intervention area 3 and focuses on helping Integrity Cities implement measures that will contribute to increased integrity, transparency and accountability. </w:t>
      </w:r>
      <w:proofErr w:type="spellStart"/>
      <w:r>
        <w:rPr>
          <w:rFonts w:ascii="Verdana" w:eastAsia="Verdana" w:hAnsi="Verdana" w:cs="Verdana"/>
          <w:sz w:val="20"/>
          <w:szCs w:val="20"/>
        </w:rPr>
        <w:t>Organisationally</w:t>
      </w:r>
      <w:proofErr w:type="spellEnd"/>
      <w:r>
        <w:rPr>
          <w:rFonts w:ascii="Verdana" w:eastAsia="Verdana" w:hAnsi="Verdana" w:cs="Verdana"/>
          <w:sz w:val="20"/>
          <w:szCs w:val="20"/>
        </w:rPr>
        <w:t>, a Technical Supervision Consultancy Services Provider will work with the EUACI team and Advisors in Integrity Cities and will be supervised by the Intervention Area 3 Team Lead.</w:t>
      </w:r>
    </w:p>
    <w:p w14:paraId="123A669C" w14:textId="77777777" w:rsidR="004F0CB3" w:rsidRDefault="00AC1403">
      <w:pPr>
        <w:spacing w:line="240" w:lineRule="auto"/>
        <w:ind w:left="-540" w:right="-450"/>
        <w:jc w:val="both"/>
        <w:rPr>
          <w:rFonts w:ascii="Verdana" w:eastAsia="Verdana" w:hAnsi="Verdana" w:cs="Verdana"/>
          <w:b/>
          <w:color w:val="000000"/>
          <w:sz w:val="20"/>
          <w:szCs w:val="20"/>
        </w:rPr>
      </w:pPr>
      <w:r>
        <w:rPr>
          <w:rFonts w:ascii="Verdana" w:eastAsia="Verdana" w:hAnsi="Verdana" w:cs="Verdana"/>
          <w:b/>
          <w:color w:val="000000"/>
          <w:sz w:val="20"/>
          <w:szCs w:val="20"/>
        </w:rPr>
        <w:t>The partnership with Integrity Cities</w:t>
      </w:r>
    </w:p>
    <w:p w14:paraId="657F2418" w14:textId="77777777" w:rsidR="004F0CB3" w:rsidRDefault="00AC1403">
      <w:pPr>
        <w:spacing w:line="240" w:lineRule="auto"/>
        <w:ind w:left="-540" w:right="-45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 six Integrity Cities with which the EUACI has a partnership are Chernivtsi, </w:t>
      </w:r>
      <w:proofErr w:type="spellStart"/>
      <w:r>
        <w:rPr>
          <w:rFonts w:ascii="Verdana" w:eastAsia="Verdana" w:hAnsi="Verdana" w:cs="Verdana"/>
          <w:sz w:val="20"/>
          <w:szCs w:val="20"/>
        </w:rPr>
        <w:t>S</w:t>
      </w:r>
      <w:r>
        <w:rPr>
          <w:rFonts w:ascii="Verdana" w:eastAsia="Verdana" w:hAnsi="Verdana" w:cs="Verdana"/>
          <w:color w:val="000000"/>
          <w:sz w:val="20"/>
          <w:szCs w:val="20"/>
        </w:rPr>
        <w:t>heptytskyi</w:t>
      </w:r>
      <w:proofErr w:type="spellEnd"/>
      <w:r>
        <w:rPr>
          <w:rFonts w:ascii="Verdana" w:eastAsia="Verdana" w:hAnsi="Verdana" w:cs="Verdana"/>
          <w:color w:val="000000"/>
          <w:sz w:val="20"/>
          <w:szCs w:val="20"/>
        </w:rPr>
        <w:t xml:space="preserve">, Mykolaiv, Nikopol, Mariupol and Zhytomyr. </w:t>
      </w:r>
    </w:p>
    <w:p w14:paraId="59989A1D" w14:textId="77777777" w:rsidR="004F0CB3" w:rsidRDefault="00AC1403">
      <w:pPr>
        <w:ind w:left="-540" w:right="-450"/>
        <w:jc w:val="both"/>
        <w:rPr>
          <w:rFonts w:ascii="Verdana" w:eastAsia="Verdana" w:hAnsi="Verdana" w:cs="Verdana"/>
          <w:sz w:val="20"/>
          <w:szCs w:val="20"/>
        </w:rPr>
      </w:pPr>
      <w:r>
        <w:rPr>
          <w:rFonts w:ascii="Verdana" w:eastAsia="Verdana" w:hAnsi="Verdana" w:cs="Verdana"/>
          <w:color w:val="000000"/>
          <w:sz w:val="20"/>
          <w:szCs w:val="20"/>
        </w:rPr>
        <w:t xml:space="preserve">During phase I and II, the EUACI worked with these cities to strengthen their systems and tools for enhancing integrity, transparency, and accountability. The partnership continues in the current </w:t>
      </w:r>
      <w:r>
        <w:rPr>
          <w:rFonts w:ascii="Verdana" w:eastAsia="Verdana" w:hAnsi="Verdana" w:cs="Verdana"/>
          <w:sz w:val="20"/>
          <w:szCs w:val="20"/>
        </w:rPr>
        <w:t xml:space="preserve">3rd </w:t>
      </w:r>
      <w:r>
        <w:rPr>
          <w:rFonts w:ascii="Verdana" w:eastAsia="Verdana" w:hAnsi="Verdana" w:cs="Verdana"/>
          <w:color w:val="000000"/>
          <w:sz w:val="20"/>
          <w:szCs w:val="20"/>
        </w:rPr>
        <w:t>phase, focusing on the continued development of the various integrity tools launched during previous phases and the implementation of new tools. Currently</w:t>
      </w:r>
      <w:r>
        <w:rPr>
          <w:rFonts w:ascii="Verdana" w:eastAsia="Verdana" w:hAnsi="Verdana" w:cs="Verdana"/>
          <w:sz w:val="20"/>
          <w:szCs w:val="20"/>
        </w:rPr>
        <w:t>, there are no activities in Mariupol.</w:t>
      </w:r>
    </w:p>
    <w:p w14:paraId="4E5D2BDE" w14:textId="77777777"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 xml:space="preserve">Based on the agreements reached with the Mayors of the Integrity Cities under the existing Memorandums of Understanding, the EUACI aims to support the establishment of efficient, transparent, and </w:t>
      </w:r>
      <w:proofErr w:type="spellStart"/>
      <w:r>
        <w:rPr>
          <w:rFonts w:ascii="Verdana" w:eastAsia="Verdana" w:hAnsi="Verdana" w:cs="Verdana"/>
          <w:sz w:val="20"/>
          <w:szCs w:val="20"/>
        </w:rPr>
        <w:t>standardised</w:t>
      </w:r>
      <w:proofErr w:type="spellEnd"/>
      <w:r>
        <w:rPr>
          <w:rFonts w:ascii="Verdana" w:eastAsia="Verdana" w:hAnsi="Verdana" w:cs="Verdana"/>
          <w:sz w:val="20"/>
          <w:szCs w:val="20"/>
        </w:rPr>
        <w:t xml:space="preserve"> technical supervision practices in partner cities. This consultancy will focus on providing methodological support for updating and </w:t>
      </w:r>
      <w:proofErr w:type="spellStart"/>
      <w:r>
        <w:rPr>
          <w:rFonts w:ascii="Verdana" w:eastAsia="Verdana" w:hAnsi="Verdana" w:cs="Verdana"/>
          <w:sz w:val="20"/>
          <w:szCs w:val="20"/>
        </w:rPr>
        <w:t>formalising</w:t>
      </w:r>
      <w:proofErr w:type="spellEnd"/>
      <w:r>
        <w:rPr>
          <w:rFonts w:ascii="Verdana" w:eastAsia="Verdana" w:hAnsi="Verdana" w:cs="Verdana"/>
          <w:sz w:val="20"/>
          <w:szCs w:val="20"/>
        </w:rPr>
        <w:t xml:space="preserve"> key processes related to technical supervision, developing normative documentation, and ensuring that these processes are aligned with both Ukrainian legislation and international best practices.</w:t>
      </w:r>
    </w:p>
    <w:p w14:paraId="6768BB9D" w14:textId="77777777"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The Contractor will be directly engaged in supporting these processes in Chernivtsi, Zhytomyr, and Mykolaiv, including drafting essential regulations and providing expert guidance during the implementation of Roadmap stages designed to improve technical supervision oversight in these cities. These Roadmaps include lists of documents requested by each city, and these lists may be further adjusted, expanded, or amended as the needs of the municipalities evolve.</w:t>
      </w:r>
    </w:p>
    <w:p w14:paraId="37F25951" w14:textId="77777777" w:rsidR="004F0CB3" w:rsidRDefault="00AC1403">
      <w:pPr>
        <w:numPr>
          <w:ilvl w:val="0"/>
          <w:numId w:val="5"/>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ESSENTIAL DUTIES AND FUNCTIONS</w:t>
      </w:r>
    </w:p>
    <w:p w14:paraId="675945C0" w14:textId="77777777"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To support the Advisors to the Mayors, Heads of relevant municipal departments/units, and staff responsible for technical supervision in Chernivtsi, Zhytomyr, and Mykolaiv in coordinating, advancing, and overseeing the implementation of actions aimed at establishing efficient, transparent, and well-regulated technical supervision practices.</w:t>
      </w:r>
    </w:p>
    <w:p w14:paraId="66D5C1F8" w14:textId="77777777"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The Contractor’s team will provide expert guidance and supervision services to city officials to address the following priority needs:</w:t>
      </w:r>
    </w:p>
    <w:p w14:paraId="317F4486" w14:textId="77777777" w:rsidR="004F0CB3" w:rsidRDefault="00AC1403">
      <w:pPr>
        <w:numPr>
          <w:ilvl w:val="0"/>
          <w:numId w:val="2"/>
        </w:numPr>
        <w:spacing w:before="240" w:after="0"/>
        <w:rPr>
          <w:rFonts w:ascii="Verdana" w:eastAsia="Verdana" w:hAnsi="Verdana" w:cs="Verdana"/>
          <w:sz w:val="20"/>
          <w:szCs w:val="20"/>
        </w:rPr>
      </w:pPr>
      <w:proofErr w:type="spellStart"/>
      <w:r>
        <w:rPr>
          <w:rFonts w:ascii="Verdana" w:eastAsia="Verdana" w:hAnsi="Verdana" w:cs="Verdana"/>
          <w:sz w:val="20"/>
          <w:szCs w:val="20"/>
        </w:rPr>
        <w:t>Formalisation</w:t>
      </w:r>
      <w:proofErr w:type="spellEnd"/>
      <w:r>
        <w:rPr>
          <w:rFonts w:ascii="Verdana" w:eastAsia="Verdana" w:hAnsi="Verdana" w:cs="Verdana"/>
          <w:sz w:val="20"/>
          <w:szCs w:val="20"/>
        </w:rPr>
        <w:t xml:space="preserve"> and regulation of technical supervision procedures, ensuring clear rules for all stages of the process.</w:t>
      </w:r>
    </w:p>
    <w:p w14:paraId="7A74A510" w14:textId="77777777" w:rsidR="004F0CB3" w:rsidRDefault="00AC1403">
      <w:pPr>
        <w:numPr>
          <w:ilvl w:val="0"/>
          <w:numId w:val="2"/>
        </w:numPr>
        <w:spacing w:after="0"/>
        <w:rPr>
          <w:rFonts w:ascii="Verdana" w:eastAsia="Verdana" w:hAnsi="Verdana" w:cs="Verdana"/>
          <w:sz w:val="20"/>
          <w:szCs w:val="20"/>
        </w:rPr>
      </w:pPr>
      <w:proofErr w:type="spellStart"/>
      <w:r>
        <w:rPr>
          <w:rFonts w:ascii="Verdana" w:eastAsia="Verdana" w:hAnsi="Verdana" w:cs="Verdana"/>
          <w:sz w:val="20"/>
          <w:szCs w:val="20"/>
        </w:rPr>
        <w:t>Standardisation</w:t>
      </w:r>
      <w:proofErr w:type="spellEnd"/>
      <w:r>
        <w:rPr>
          <w:rFonts w:ascii="Verdana" w:eastAsia="Verdana" w:hAnsi="Verdana" w:cs="Verdana"/>
          <w:sz w:val="20"/>
          <w:szCs w:val="20"/>
        </w:rPr>
        <w:t xml:space="preserve"> of reporting formats and monitoring mechanisms, ensuring consistent documentation and enabling effective oversight.</w:t>
      </w:r>
    </w:p>
    <w:p w14:paraId="67ED5597" w14:textId="77777777" w:rsidR="004F0CB3" w:rsidRDefault="00AC1403">
      <w:pPr>
        <w:numPr>
          <w:ilvl w:val="0"/>
          <w:numId w:val="2"/>
        </w:numPr>
        <w:spacing w:after="0"/>
        <w:rPr>
          <w:rFonts w:ascii="Verdana" w:eastAsia="Verdana" w:hAnsi="Verdana" w:cs="Verdana"/>
          <w:sz w:val="20"/>
          <w:szCs w:val="20"/>
        </w:rPr>
      </w:pPr>
      <w:r>
        <w:rPr>
          <w:rFonts w:ascii="Verdana" w:eastAsia="Verdana" w:hAnsi="Verdana" w:cs="Verdana"/>
          <w:sz w:val="20"/>
          <w:szCs w:val="20"/>
        </w:rPr>
        <w:t>Development of clear procurement rules for engaging technical supervision services, promoting transparency and expanding access for qualified providers.</w:t>
      </w:r>
    </w:p>
    <w:p w14:paraId="16F96896" w14:textId="77777777" w:rsidR="004F0CB3" w:rsidRDefault="00AC1403">
      <w:pPr>
        <w:numPr>
          <w:ilvl w:val="0"/>
          <w:numId w:val="2"/>
        </w:numPr>
        <w:spacing w:after="0"/>
        <w:rPr>
          <w:rFonts w:ascii="Verdana" w:eastAsia="Verdana" w:hAnsi="Verdana" w:cs="Verdana"/>
          <w:sz w:val="20"/>
          <w:szCs w:val="20"/>
        </w:rPr>
      </w:pPr>
      <w:r>
        <w:rPr>
          <w:rFonts w:ascii="Verdana" w:eastAsia="Verdana" w:hAnsi="Verdana" w:cs="Verdana"/>
          <w:sz w:val="20"/>
          <w:szCs w:val="20"/>
        </w:rPr>
        <w:t>Clarification of roles, responsibilities, and communication protocols between technical supervisors, municipal customers, and contractors, ensuring smooth coordination and accountability throughout the project lifecycle.</w:t>
      </w:r>
    </w:p>
    <w:p w14:paraId="792DF717" w14:textId="77777777" w:rsidR="004F0CB3" w:rsidRDefault="00AC1403">
      <w:pPr>
        <w:numPr>
          <w:ilvl w:val="0"/>
          <w:numId w:val="2"/>
        </w:numPr>
        <w:spacing w:after="240"/>
        <w:rPr>
          <w:rFonts w:ascii="Verdana" w:eastAsia="Verdana" w:hAnsi="Verdana" w:cs="Verdana"/>
          <w:sz w:val="20"/>
          <w:szCs w:val="20"/>
        </w:rPr>
      </w:pPr>
      <w:r>
        <w:rPr>
          <w:rFonts w:ascii="Verdana" w:eastAsia="Verdana" w:hAnsi="Verdana" w:cs="Verdana"/>
          <w:sz w:val="20"/>
          <w:szCs w:val="20"/>
        </w:rPr>
        <w:t>On-site supervision support, to assist city technical supervision teams, providing practical guidance on correct supervision practices, reporting standards, and the application of newly developed procedures in real project conditions.</w:t>
      </w:r>
    </w:p>
    <w:p w14:paraId="736D1AD3" w14:textId="77777777"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The Contractor’s team is expected to have regular visits to Chernivtsi, Zhytomyr and Mykolaiv.</w:t>
      </w:r>
    </w:p>
    <w:p w14:paraId="3BAAF907" w14:textId="77777777" w:rsidR="004F0CB3" w:rsidRDefault="00AC1403">
      <w:pPr>
        <w:numPr>
          <w:ilvl w:val="0"/>
          <w:numId w:val="5"/>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lastRenderedPageBreak/>
        <w:t>BUDGET AND LENGTH OF CONTRACT</w:t>
      </w:r>
    </w:p>
    <w:p w14:paraId="29205C6F" w14:textId="2B0B79AF" w:rsidR="004F0CB3" w:rsidRDefault="00AC1403">
      <w:pPr>
        <w:ind w:left="-540" w:right="-450"/>
        <w:jc w:val="both"/>
        <w:rPr>
          <w:rFonts w:ascii="Verdana" w:eastAsia="Verdana" w:hAnsi="Verdana" w:cs="Verdana"/>
          <w:sz w:val="20"/>
          <w:szCs w:val="20"/>
        </w:rPr>
      </w:pPr>
      <w:r>
        <w:rPr>
          <w:rFonts w:ascii="Verdana" w:eastAsia="Verdana" w:hAnsi="Verdana" w:cs="Verdana"/>
          <w:sz w:val="20"/>
          <w:szCs w:val="20"/>
        </w:rPr>
        <w:t>The expected duration of the assignment is</w:t>
      </w:r>
      <w:r>
        <w:rPr>
          <w:rFonts w:ascii="Verdana" w:eastAsia="Verdana" w:hAnsi="Verdana" w:cs="Verdana"/>
          <w:b/>
          <w:sz w:val="20"/>
          <w:szCs w:val="20"/>
        </w:rPr>
        <w:t xml:space="preserve"> </w:t>
      </w:r>
      <w:r w:rsidR="007911F5">
        <w:rPr>
          <w:rFonts w:ascii="Verdana" w:eastAsia="Verdana" w:hAnsi="Verdana" w:cs="Verdana"/>
          <w:b/>
          <w:sz w:val="20"/>
          <w:szCs w:val="20"/>
        </w:rPr>
        <w:t>9</w:t>
      </w:r>
      <w:r>
        <w:rPr>
          <w:rFonts w:ascii="Verdana" w:eastAsia="Verdana" w:hAnsi="Verdana" w:cs="Verdana"/>
          <w:b/>
          <w:sz w:val="20"/>
          <w:szCs w:val="20"/>
        </w:rPr>
        <w:t xml:space="preserve"> months and 120 working days</w:t>
      </w:r>
      <w:r>
        <w:rPr>
          <w:rFonts w:ascii="Verdana" w:eastAsia="Verdana" w:hAnsi="Verdana" w:cs="Verdana"/>
          <w:sz w:val="20"/>
          <w:szCs w:val="20"/>
        </w:rPr>
        <w:t xml:space="preserve"> (including 35 travel days), with a tentative start in April 2025 and completion in </w:t>
      </w:r>
      <w:r w:rsidR="007911F5">
        <w:rPr>
          <w:rFonts w:ascii="Verdana" w:eastAsia="Verdana" w:hAnsi="Verdana" w:cs="Verdana"/>
          <w:sz w:val="20"/>
          <w:szCs w:val="20"/>
        </w:rPr>
        <w:t>December</w:t>
      </w:r>
      <w:r>
        <w:rPr>
          <w:rFonts w:ascii="Verdana" w:eastAsia="Verdana" w:hAnsi="Verdana" w:cs="Verdana"/>
          <w:sz w:val="20"/>
          <w:szCs w:val="20"/>
        </w:rPr>
        <w:t xml:space="preserve"> 202</w:t>
      </w:r>
      <w:r w:rsidR="007911F5">
        <w:rPr>
          <w:rFonts w:ascii="Verdana" w:eastAsia="Verdana" w:hAnsi="Verdana" w:cs="Verdana"/>
          <w:sz w:val="20"/>
          <w:szCs w:val="20"/>
        </w:rPr>
        <w:t>5</w:t>
      </w:r>
      <w:r>
        <w:rPr>
          <w:rFonts w:ascii="Verdana" w:eastAsia="Verdana" w:hAnsi="Verdana" w:cs="Verdana"/>
          <w:sz w:val="20"/>
          <w:szCs w:val="20"/>
        </w:rPr>
        <w:t>.</w:t>
      </w:r>
    </w:p>
    <w:p w14:paraId="5986CE76" w14:textId="7077085E" w:rsidR="004F0CB3" w:rsidRDefault="00AC1403">
      <w:pPr>
        <w:ind w:left="-540" w:right="-450"/>
        <w:jc w:val="both"/>
        <w:rPr>
          <w:rFonts w:ascii="Verdana" w:eastAsia="Verdana" w:hAnsi="Verdana" w:cs="Verdana"/>
          <w:sz w:val="20"/>
          <w:szCs w:val="20"/>
          <w:u w:val="single"/>
        </w:rPr>
      </w:pPr>
      <w:r>
        <w:rPr>
          <w:rFonts w:ascii="Verdana" w:eastAsia="Verdana" w:hAnsi="Verdana" w:cs="Verdana"/>
          <w:sz w:val="20"/>
          <w:szCs w:val="20"/>
        </w:rPr>
        <w:t xml:space="preserve">The budget is up to </w:t>
      </w:r>
      <w:r>
        <w:rPr>
          <w:rFonts w:ascii="Verdana" w:eastAsia="Verdana" w:hAnsi="Verdana" w:cs="Verdana"/>
          <w:b/>
          <w:sz w:val="20"/>
          <w:szCs w:val="20"/>
        </w:rPr>
        <w:t>2</w:t>
      </w:r>
      <w:r w:rsidR="00285AF4">
        <w:rPr>
          <w:rFonts w:ascii="Verdana" w:eastAsia="Verdana" w:hAnsi="Verdana" w:cs="Verdana"/>
          <w:b/>
          <w:sz w:val="20"/>
          <w:szCs w:val="20"/>
        </w:rPr>
        <w:t>4</w:t>
      </w:r>
      <w:r>
        <w:rPr>
          <w:rFonts w:ascii="Verdana" w:eastAsia="Verdana" w:hAnsi="Verdana" w:cs="Verdana"/>
          <w:b/>
          <w:sz w:val="20"/>
          <w:szCs w:val="20"/>
        </w:rPr>
        <w:t>,000 EUR</w:t>
      </w:r>
      <w:r>
        <w:rPr>
          <w:rFonts w:ascii="Verdana" w:eastAsia="Verdana" w:hAnsi="Verdana" w:cs="Verdana"/>
          <w:sz w:val="20"/>
          <w:szCs w:val="20"/>
        </w:rPr>
        <w:t xml:space="preserve"> including business trips (per diem, logistics and accommodation) for 35 travel days in Ukraine.</w:t>
      </w:r>
    </w:p>
    <w:p w14:paraId="23AB714A" w14:textId="77777777" w:rsidR="004F0CB3" w:rsidRDefault="00AC1403">
      <w:pPr>
        <w:numPr>
          <w:ilvl w:val="0"/>
          <w:numId w:val="5"/>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SPECIFIC RESPONSIBILITIES</w:t>
      </w:r>
    </w:p>
    <w:p w14:paraId="0325F75B" w14:textId="77777777" w:rsidR="004F0CB3" w:rsidRDefault="00AC1403">
      <w:pPr>
        <w:spacing w:before="280" w:after="280"/>
        <w:ind w:left="-540" w:right="-450"/>
        <w:jc w:val="both"/>
        <w:rPr>
          <w:rFonts w:ascii="Verdana" w:eastAsia="Verdana" w:hAnsi="Verdana" w:cs="Verdana"/>
          <w:sz w:val="20"/>
          <w:szCs w:val="20"/>
        </w:rPr>
      </w:pPr>
      <w:r>
        <w:rPr>
          <w:rFonts w:ascii="Verdana" w:eastAsia="Verdana" w:hAnsi="Verdana" w:cs="Verdana"/>
          <w:b/>
          <w:sz w:val="20"/>
          <w:szCs w:val="20"/>
        </w:rPr>
        <w:t>Areas of Responsibility:</w:t>
      </w:r>
    </w:p>
    <w:p w14:paraId="628F1EDF" w14:textId="77777777" w:rsidR="004F0CB3" w:rsidRDefault="00AC1403">
      <w:pPr>
        <w:pStyle w:val="Overskrift3"/>
        <w:rPr>
          <w:rFonts w:ascii="Verdana" w:eastAsia="Verdana" w:hAnsi="Verdana" w:cs="Verdana"/>
          <w:sz w:val="20"/>
          <w:szCs w:val="20"/>
        </w:rPr>
      </w:pPr>
      <w:bookmarkStart w:id="2" w:name="_heading=h.wzybflrd8i57" w:colFirst="0" w:colLast="0"/>
      <w:bookmarkEnd w:id="2"/>
      <w:r>
        <w:rPr>
          <w:rFonts w:ascii="Verdana" w:eastAsia="Verdana" w:hAnsi="Verdana" w:cs="Verdana"/>
          <w:sz w:val="20"/>
          <w:szCs w:val="20"/>
        </w:rPr>
        <w:t>1. Regulatory and Methodological Development</w:t>
      </w:r>
    </w:p>
    <w:p w14:paraId="27A02F6D" w14:textId="77777777" w:rsidR="004F0CB3" w:rsidRDefault="00AC1403">
      <w:pPr>
        <w:numPr>
          <w:ilvl w:val="0"/>
          <w:numId w:val="1"/>
        </w:numPr>
        <w:rPr>
          <w:rFonts w:ascii="Verdana" w:eastAsia="Verdana" w:hAnsi="Verdana" w:cs="Verdana"/>
          <w:sz w:val="20"/>
          <w:szCs w:val="20"/>
        </w:rPr>
      </w:pPr>
      <w:r>
        <w:rPr>
          <w:rFonts w:ascii="Verdana" w:eastAsia="Verdana" w:hAnsi="Verdana" w:cs="Verdana"/>
          <w:sz w:val="20"/>
          <w:szCs w:val="20"/>
        </w:rPr>
        <w:t>Drafting a package of normative documents for each city, covering the entire cycle of technical supervision (from procurement to reporting and monitoring).</w:t>
      </w:r>
    </w:p>
    <w:p w14:paraId="47482DFB" w14:textId="77777777" w:rsidR="004F0CB3" w:rsidRDefault="00AC1403">
      <w:pPr>
        <w:numPr>
          <w:ilvl w:val="0"/>
          <w:numId w:val="1"/>
        </w:numPr>
        <w:rPr>
          <w:rFonts w:ascii="Verdana" w:eastAsia="Verdana" w:hAnsi="Verdana" w:cs="Verdana"/>
          <w:sz w:val="20"/>
          <w:szCs w:val="20"/>
        </w:rPr>
      </w:pPr>
      <w:r>
        <w:rPr>
          <w:rFonts w:ascii="Verdana" w:eastAsia="Verdana" w:hAnsi="Verdana" w:cs="Verdana"/>
          <w:sz w:val="20"/>
          <w:szCs w:val="20"/>
        </w:rPr>
        <w:t>Aligning these documents with Ukrainian legislation, EU standards, and international best practices in public sector construction oversight.</w:t>
      </w:r>
    </w:p>
    <w:p w14:paraId="3718D7AB" w14:textId="77777777" w:rsidR="004F0CB3" w:rsidRDefault="00AC1403">
      <w:pPr>
        <w:numPr>
          <w:ilvl w:val="0"/>
          <w:numId w:val="1"/>
        </w:numPr>
        <w:rPr>
          <w:rFonts w:ascii="Verdana" w:eastAsia="Verdana" w:hAnsi="Verdana" w:cs="Verdana"/>
          <w:sz w:val="20"/>
          <w:szCs w:val="20"/>
        </w:rPr>
      </w:pPr>
      <w:r>
        <w:rPr>
          <w:rFonts w:ascii="Verdana" w:eastAsia="Verdana" w:hAnsi="Verdana" w:cs="Verdana"/>
          <w:sz w:val="20"/>
          <w:szCs w:val="20"/>
        </w:rPr>
        <w:t>Ensuring clear links between technical supervision procedures and broader municipal procurement, audit, and budgeting processes.</w:t>
      </w:r>
    </w:p>
    <w:p w14:paraId="4F167AA9" w14:textId="77777777" w:rsidR="004F0CB3" w:rsidRDefault="00AC1403">
      <w:pPr>
        <w:pStyle w:val="Overskrift3"/>
        <w:rPr>
          <w:rFonts w:ascii="Verdana" w:eastAsia="Verdana" w:hAnsi="Verdana" w:cs="Verdana"/>
          <w:sz w:val="20"/>
          <w:szCs w:val="20"/>
        </w:rPr>
      </w:pPr>
      <w:bookmarkStart w:id="3" w:name="_heading=h.3pui3ortbvil" w:colFirst="0" w:colLast="0"/>
      <w:bookmarkEnd w:id="3"/>
      <w:r>
        <w:rPr>
          <w:rFonts w:ascii="Verdana" w:eastAsia="Verdana" w:hAnsi="Verdana" w:cs="Verdana"/>
          <w:sz w:val="20"/>
          <w:szCs w:val="20"/>
        </w:rPr>
        <w:t>2. Roadmaps Implementation Support</w:t>
      </w:r>
    </w:p>
    <w:p w14:paraId="2C6C806F" w14:textId="77777777" w:rsidR="004F0CB3" w:rsidRDefault="00AC1403">
      <w:pPr>
        <w:numPr>
          <w:ilvl w:val="0"/>
          <w:numId w:val="7"/>
        </w:numPr>
        <w:rPr>
          <w:rFonts w:ascii="Verdana" w:eastAsia="Verdana" w:hAnsi="Verdana" w:cs="Verdana"/>
          <w:sz w:val="20"/>
          <w:szCs w:val="20"/>
        </w:rPr>
      </w:pPr>
      <w:r>
        <w:rPr>
          <w:rFonts w:ascii="Verdana" w:eastAsia="Verdana" w:hAnsi="Verdana" w:cs="Verdana"/>
          <w:sz w:val="20"/>
          <w:szCs w:val="20"/>
        </w:rPr>
        <w:t>Providing expert supervision and methodological support to city officials during the implementation of the Roadmaps for Enhancing Technical Supervision in Chernivtsi, Zhytomyr, and Mykolaiv.</w:t>
      </w:r>
    </w:p>
    <w:p w14:paraId="5987F066" w14:textId="77777777" w:rsidR="004F0CB3" w:rsidRDefault="00AC1403">
      <w:pPr>
        <w:numPr>
          <w:ilvl w:val="0"/>
          <w:numId w:val="7"/>
        </w:numPr>
        <w:rPr>
          <w:rFonts w:ascii="Verdana" w:eastAsia="Verdana" w:hAnsi="Verdana" w:cs="Verdana"/>
          <w:sz w:val="20"/>
          <w:szCs w:val="20"/>
        </w:rPr>
      </w:pPr>
      <w:r>
        <w:rPr>
          <w:rFonts w:ascii="Verdana" w:eastAsia="Verdana" w:hAnsi="Verdana" w:cs="Verdana"/>
          <w:sz w:val="20"/>
          <w:szCs w:val="20"/>
        </w:rPr>
        <w:t xml:space="preserve">Helping cities </w:t>
      </w:r>
      <w:proofErr w:type="spellStart"/>
      <w:r>
        <w:rPr>
          <w:rFonts w:ascii="Verdana" w:eastAsia="Verdana" w:hAnsi="Verdana" w:cs="Verdana"/>
          <w:sz w:val="20"/>
          <w:szCs w:val="20"/>
        </w:rPr>
        <w:t>institutionalise</w:t>
      </w:r>
      <w:proofErr w:type="spellEnd"/>
      <w:r>
        <w:rPr>
          <w:rFonts w:ascii="Verdana" w:eastAsia="Verdana" w:hAnsi="Verdana" w:cs="Verdana"/>
          <w:sz w:val="20"/>
          <w:szCs w:val="20"/>
        </w:rPr>
        <w:t xml:space="preserve"> new procedures within their governance and procurement systems.</w:t>
      </w:r>
    </w:p>
    <w:p w14:paraId="4F1E5D3C" w14:textId="77777777" w:rsidR="004F0CB3" w:rsidRDefault="00AC1403">
      <w:pPr>
        <w:pStyle w:val="Overskrift3"/>
        <w:rPr>
          <w:rFonts w:ascii="Verdana" w:eastAsia="Verdana" w:hAnsi="Verdana" w:cs="Verdana"/>
          <w:sz w:val="20"/>
          <w:szCs w:val="20"/>
        </w:rPr>
      </w:pPr>
      <w:bookmarkStart w:id="4" w:name="_heading=h.c3zvh03pbw15" w:colFirst="0" w:colLast="0"/>
      <w:bookmarkEnd w:id="4"/>
      <w:r>
        <w:rPr>
          <w:rFonts w:ascii="Verdana" w:eastAsia="Verdana" w:hAnsi="Verdana" w:cs="Verdana"/>
          <w:sz w:val="20"/>
          <w:szCs w:val="20"/>
        </w:rPr>
        <w:t>3. Capacity Building</w:t>
      </w:r>
    </w:p>
    <w:p w14:paraId="5AEB9B04" w14:textId="77777777" w:rsidR="004F0CB3" w:rsidRDefault="00AC1403">
      <w:pPr>
        <w:numPr>
          <w:ilvl w:val="0"/>
          <w:numId w:val="6"/>
        </w:numPr>
        <w:rPr>
          <w:rFonts w:ascii="Verdana" w:eastAsia="Verdana" w:hAnsi="Verdana" w:cs="Verdana"/>
          <w:sz w:val="20"/>
          <w:szCs w:val="20"/>
        </w:rPr>
      </w:pPr>
      <w:r>
        <w:rPr>
          <w:rFonts w:ascii="Verdana" w:eastAsia="Verdana" w:hAnsi="Verdana" w:cs="Verdana"/>
          <w:sz w:val="20"/>
          <w:szCs w:val="20"/>
        </w:rPr>
        <w:t>Developing practical guidance materials (templates, checklists, step-by-step manuals) to ensure consistent application of new procedures.</w:t>
      </w:r>
    </w:p>
    <w:p w14:paraId="1BA6C897" w14:textId="77777777" w:rsidR="004F0CB3" w:rsidRDefault="00AC1403">
      <w:pPr>
        <w:numPr>
          <w:ilvl w:val="0"/>
          <w:numId w:val="6"/>
        </w:numPr>
        <w:rPr>
          <w:rFonts w:ascii="Verdana" w:eastAsia="Verdana" w:hAnsi="Verdana" w:cs="Verdana"/>
          <w:sz w:val="20"/>
          <w:szCs w:val="20"/>
        </w:rPr>
      </w:pPr>
      <w:r>
        <w:rPr>
          <w:rFonts w:ascii="Verdana" w:eastAsia="Verdana" w:hAnsi="Verdana" w:cs="Verdana"/>
          <w:sz w:val="20"/>
          <w:szCs w:val="20"/>
        </w:rPr>
        <w:t>Delivering training sessions for staff of municipal technical supervision units and relevant departments in each city.</w:t>
      </w:r>
    </w:p>
    <w:p w14:paraId="6869FE0D" w14:textId="77777777" w:rsidR="004F0CB3" w:rsidRDefault="00AC1403">
      <w:pPr>
        <w:pStyle w:val="Overskrift3"/>
        <w:rPr>
          <w:rFonts w:ascii="Verdana" w:eastAsia="Verdana" w:hAnsi="Verdana" w:cs="Verdana"/>
          <w:sz w:val="20"/>
          <w:szCs w:val="20"/>
        </w:rPr>
      </w:pPr>
      <w:bookmarkStart w:id="5" w:name="_heading=h.8dx1lvjty4ua" w:colFirst="0" w:colLast="0"/>
      <w:bookmarkEnd w:id="5"/>
      <w:r>
        <w:rPr>
          <w:rFonts w:ascii="Verdana" w:eastAsia="Verdana" w:hAnsi="Verdana" w:cs="Verdana"/>
          <w:sz w:val="20"/>
          <w:szCs w:val="20"/>
        </w:rPr>
        <w:t>4. Coordination and Advisory Support</w:t>
      </w:r>
    </w:p>
    <w:p w14:paraId="45443794" w14:textId="77777777" w:rsidR="004F0CB3" w:rsidRDefault="00AC1403">
      <w:pPr>
        <w:numPr>
          <w:ilvl w:val="0"/>
          <w:numId w:val="3"/>
        </w:numPr>
        <w:rPr>
          <w:rFonts w:ascii="Verdana" w:eastAsia="Verdana" w:hAnsi="Verdana" w:cs="Verdana"/>
          <w:sz w:val="20"/>
          <w:szCs w:val="20"/>
        </w:rPr>
      </w:pPr>
      <w:r>
        <w:rPr>
          <w:rFonts w:ascii="Verdana" w:eastAsia="Verdana" w:hAnsi="Verdana" w:cs="Verdana"/>
          <w:sz w:val="20"/>
          <w:szCs w:val="20"/>
        </w:rPr>
        <w:t xml:space="preserve">Advising on the introduction of digital monitoring tools for technical supervision management,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messenger-based reporting and document tracking.</w:t>
      </w:r>
    </w:p>
    <w:p w14:paraId="6514F018" w14:textId="77777777" w:rsidR="004F0CB3" w:rsidRDefault="00AC1403">
      <w:pPr>
        <w:numPr>
          <w:ilvl w:val="0"/>
          <w:numId w:val="3"/>
        </w:numPr>
        <w:rPr>
          <w:rFonts w:ascii="Verdana" w:eastAsia="Verdana" w:hAnsi="Verdana" w:cs="Verdana"/>
          <w:sz w:val="20"/>
          <w:szCs w:val="20"/>
        </w:rPr>
      </w:pPr>
      <w:r>
        <w:rPr>
          <w:rFonts w:ascii="Verdana" w:eastAsia="Verdana" w:hAnsi="Verdana" w:cs="Verdana"/>
          <w:sz w:val="20"/>
          <w:szCs w:val="20"/>
        </w:rPr>
        <w:t>Supporting Advisors to the Mayors and key staff to align technical supervision reforms with broader anti-corruption and integrity efforts in each city.</w:t>
      </w:r>
    </w:p>
    <w:p w14:paraId="6F4BC5EC" w14:textId="77777777" w:rsidR="004F0CB3" w:rsidRDefault="00AC1403">
      <w:pPr>
        <w:numPr>
          <w:ilvl w:val="0"/>
          <w:numId w:val="3"/>
        </w:numPr>
        <w:rPr>
          <w:rFonts w:ascii="Verdana" w:eastAsia="Verdana" w:hAnsi="Verdana" w:cs="Verdana"/>
          <w:sz w:val="20"/>
          <w:szCs w:val="20"/>
        </w:rPr>
      </w:pPr>
      <w:r>
        <w:rPr>
          <w:rFonts w:ascii="Verdana" w:eastAsia="Verdana" w:hAnsi="Verdana" w:cs="Verdana"/>
          <w:sz w:val="20"/>
          <w:szCs w:val="20"/>
        </w:rPr>
        <w:lastRenderedPageBreak/>
        <w:t>Acting as a liaison between EUACI, city management, and external stakeholders to ensure smooth communication and effective coordination.</w:t>
      </w:r>
    </w:p>
    <w:p w14:paraId="48F4DC94" w14:textId="052A37B3" w:rsidR="004F0CB3" w:rsidRDefault="00AC1403">
      <w:pPr>
        <w:numPr>
          <w:ilvl w:val="0"/>
          <w:numId w:val="3"/>
        </w:numPr>
        <w:rPr>
          <w:rFonts w:ascii="Verdana" w:eastAsia="Verdana" w:hAnsi="Verdana" w:cs="Verdana"/>
          <w:sz w:val="20"/>
          <w:szCs w:val="20"/>
        </w:rPr>
      </w:pPr>
      <w:r>
        <w:rPr>
          <w:rFonts w:ascii="Verdana" w:eastAsia="Verdana" w:hAnsi="Verdana" w:cs="Verdana"/>
          <w:sz w:val="20"/>
          <w:szCs w:val="20"/>
        </w:rPr>
        <w:t xml:space="preserve">Contributing to the </w:t>
      </w:r>
      <w:r w:rsidR="00B6082F">
        <w:rPr>
          <w:rFonts w:ascii="Verdana" w:eastAsia="Verdana" w:hAnsi="Verdana" w:cs="Verdana"/>
          <w:sz w:val="20"/>
          <w:szCs w:val="20"/>
        </w:rPr>
        <w:t>activity’s</w:t>
      </w:r>
      <w:r>
        <w:rPr>
          <w:rFonts w:ascii="Verdana" w:eastAsia="Verdana" w:hAnsi="Verdana" w:cs="Verdana"/>
          <w:sz w:val="20"/>
          <w:szCs w:val="20"/>
        </w:rPr>
        <w:t xml:space="preserve"> development, updates, presentations, and reports on the </w:t>
      </w:r>
      <w:proofErr w:type="spellStart"/>
      <w:r>
        <w:rPr>
          <w:rFonts w:ascii="Verdana" w:eastAsia="Verdana" w:hAnsi="Verdana" w:cs="Verdana"/>
          <w:sz w:val="20"/>
          <w:szCs w:val="20"/>
        </w:rPr>
        <w:t>programme’s</w:t>
      </w:r>
      <w:proofErr w:type="spellEnd"/>
      <w:r>
        <w:rPr>
          <w:rFonts w:ascii="Verdana" w:eastAsia="Verdana" w:hAnsi="Verdana" w:cs="Verdana"/>
          <w:sz w:val="20"/>
          <w:szCs w:val="20"/>
        </w:rPr>
        <w:t xml:space="preserve"> implementation.</w:t>
      </w:r>
    </w:p>
    <w:p w14:paraId="74BEFEB1" w14:textId="77777777" w:rsidR="004F0CB3" w:rsidRDefault="004F0CB3">
      <w:pPr>
        <w:spacing w:after="0"/>
        <w:ind w:left="720" w:right="-450"/>
        <w:jc w:val="both"/>
        <w:rPr>
          <w:sz w:val="20"/>
          <w:szCs w:val="20"/>
        </w:rPr>
      </w:pPr>
    </w:p>
    <w:p w14:paraId="5E3DBFD7" w14:textId="77777777" w:rsidR="004F0CB3" w:rsidRDefault="00AC1403">
      <w:pPr>
        <w:numPr>
          <w:ilvl w:val="0"/>
          <w:numId w:val="5"/>
        </w:numPr>
        <w:pBdr>
          <w:top w:val="nil"/>
          <w:left w:val="nil"/>
          <w:bottom w:val="nil"/>
          <w:right w:val="nil"/>
          <w:between w:val="nil"/>
        </w:pBdr>
        <w:spacing w:after="0"/>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01F5788C" w14:textId="77777777" w:rsidR="004F0CB3" w:rsidRDefault="004F0CB3">
      <w:pPr>
        <w:pBdr>
          <w:top w:val="nil"/>
          <w:left w:val="nil"/>
          <w:bottom w:val="nil"/>
          <w:right w:val="nil"/>
          <w:between w:val="nil"/>
        </w:pBdr>
        <w:spacing w:after="0"/>
        <w:ind w:left="-540" w:right="-450"/>
        <w:jc w:val="both"/>
        <w:rPr>
          <w:rFonts w:ascii="Verdana" w:eastAsia="Verdana" w:hAnsi="Verdana" w:cs="Verdana"/>
          <w:sz w:val="20"/>
          <w:szCs w:val="20"/>
        </w:rPr>
      </w:pPr>
    </w:p>
    <w:p w14:paraId="19C2983C" w14:textId="45136128" w:rsidR="00B6082F" w:rsidRDefault="00AC1403" w:rsidP="00B6082F">
      <w:pPr>
        <w:pBdr>
          <w:top w:val="nil"/>
          <w:left w:val="nil"/>
          <w:bottom w:val="nil"/>
          <w:right w:val="nil"/>
          <w:between w:val="nil"/>
        </w:pBdr>
        <w:spacing w:after="0"/>
        <w:ind w:left="-540" w:right="-450"/>
        <w:jc w:val="both"/>
        <w:rPr>
          <w:rFonts w:ascii="Verdana" w:eastAsia="Verdana" w:hAnsi="Verdana" w:cs="Verdana"/>
          <w:sz w:val="20"/>
          <w:szCs w:val="20"/>
        </w:rPr>
      </w:pPr>
      <w:r>
        <w:rPr>
          <w:rFonts w:ascii="Verdana" w:eastAsia="Verdana" w:hAnsi="Verdana" w:cs="Verdana"/>
          <w:sz w:val="20"/>
          <w:szCs w:val="20"/>
        </w:rPr>
        <w:t xml:space="preserve">While the primary focus of the consultancy is to guide Integrity Cities — Chernivtsi, Zhytomyr, and Mykolaiv — through the process of improving and </w:t>
      </w:r>
      <w:r w:rsidR="00285AF4">
        <w:rPr>
          <w:rFonts w:ascii="Verdana" w:eastAsia="Verdana" w:hAnsi="Verdana" w:cs="Verdana"/>
          <w:sz w:val="20"/>
          <w:szCs w:val="20"/>
        </w:rPr>
        <w:t>formalizing</w:t>
      </w:r>
      <w:r>
        <w:rPr>
          <w:rFonts w:ascii="Verdana" w:eastAsia="Verdana" w:hAnsi="Verdana" w:cs="Verdana"/>
          <w:sz w:val="20"/>
          <w:szCs w:val="20"/>
        </w:rPr>
        <w:t xml:space="preserve"> their technical supervision practices, this section breaks down the scope of work into a series of concrete deliverables and outputs for which the Contractor’s team will be directly responsible. The table below outlines the tentative list of regular and specific deliverables expected during the consultancy period.</w:t>
      </w:r>
    </w:p>
    <w:p w14:paraId="2BCB313C" w14:textId="2D2C9367" w:rsidR="00B6082F" w:rsidRDefault="00B6082F" w:rsidP="00B6082F">
      <w:pPr>
        <w:pBdr>
          <w:top w:val="nil"/>
          <w:left w:val="nil"/>
          <w:bottom w:val="nil"/>
          <w:right w:val="nil"/>
          <w:between w:val="nil"/>
        </w:pBdr>
        <w:spacing w:after="0"/>
        <w:ind w:left="-540" w:right="-450"/>
        <w:jc w:val="both"/>
        <w:rPr>
          <w:rFonts w:ascii="Verdana" w:eastAsia="Verdana" w:hAnsi="Verdana" w:cs="Verdana"/>
          <w:sz w:val="20"/>
          <w:szCs w:val="20"/>
        </w:rPr>
      </w:pPr>
    </w:p>
    <w:tbl>
      <w:tblPr>
        <w:tblStyle w:val="a6"/>
        <w:tblW w:w="1011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4350"/>
        <w:gridCol w:w="2610"/>
        <w:gridCol w:w="2550"/>
      </w:tblGrid>
      <w:tr w:rsidR="00B6082F" w14:paraId="51ED5067" w14:textId="77777777" w:rsidTr="00A615B0">
        <w:tc>
          <w:tcPr>
            <w:tcW w:w="600" w:type="dxa"/>
            <w:tcMar>
              <w:top w:w="100" w:type="dxa"/>
              <w:left w:w="100" w:type="dxa"/>
              <w:bottom w:w="100" w:type="dxa"/>
              <w:right w:w="100" w:type="dxa"/>
            </w:tcMar>
          </w:tcPr>
          <w:p w14:paraId="781EE35B" w14:textId="77777777" w:rsidR="00B6082F" w:rsidRDefault="00B6082F" w:rsidP="00A615B0">
            <w:pPr>
              <w:widowControl w:val="0"/>
              <w:spacing w:after="0" w:line="240" w:lineRule="auto"/>
              <w:jc w:val="center"/>
              <w:rPr>
                <w:rFonts w:ascii="Verdana" w:eastAsia="Verdana" w:hAnsi="Verdana" w:cs="Verdana"/>
                <w:b/>
                <w:sz w:val="20"/>
                <w:szCs w:val="20"/>
              </w:rPr>
            </w:pPr>
            <w:r>
              <w:rPr>
                <w:rFonts w:ascii="Verdana" w:eastAsia="Verdana" w:hAnsi="Verdana" w:cs="Verdana"/>
                <w:b/>
                <w:sz w:val="20"/>
                <w:szCs w:val="20"/>
              </w:rPr>
              <w:t>#</w:t>
            </w:r>
          </w:p>
        </w:tc>
        <w:tc>
          <w:tcPr>
            <w:tcW w:w="4350" w:type="dxa"/>
            <w:tcMar>
              <w:top w:w="100" w:type="dxa"/>
              <w:left w:w="100" w:type="dxa"/>
              <w:bottom w:w="100" w:type="dxa"/>
              <w:right w:w="100" w:type="dxa"/>
            </w:tcMar>
          </w:tcPr>
          <w:p w14:paraId="540511F1" w14:textId="77777777" w:rsidR="00B6082F" w:rsidRDefault="00B6082F" w:rsidP="00A615B0">
            <w:pPr>
              <w:widowControl w:val="0"/>
              <w:spacing w:after="0" w:line="240" w:lineRule="auto"/>
              <w:jc w:val="center"/>
              <w:rPr>
                <w:rFonts w:ascii="Verdana" w:eastAsia="Verdana" w:hAnsi="Verdana" w:cs="Verdana"/>
                <w:sz w:val="20"/>
                <w:szCs w:val="20"/>
              </w:rPr>
            </w:pPr>
            <w:r>
              <w:rPr>
                <w:rFonts w:ascii="Verdana" w:eastAsia="Verdana" w:hAnsi="Verdana" w:cs="Verdana"/>
                <w:b/>
                <w:sz w:val="20"/>
                <w:szCs w:val="20"/>
              </w:rPr>
              <w:t>Deliverable/Output</w:t>
            </w:r>
          </w:p>
        </w:tc>
        <w:tc>
          <w:tcPr>
            <w:tcW w:w="2610" w:type="dxa"/>
            <w:tcMar>
              <w:top w:w="100" w:type="dxa"/>
              <w:left w:w="100" w:type="dxa"/>
              <w:bottom w:w="100" w:type="dxa"/>
              <w:right w:w="100" w:type="dxa"/>
            </w:tcMar>
          </w:tcPr>
          <w:p w14:paraId="618E3C5D" w14:textId="77777777" w:rsidR="00B6082F" w:rsidRDefault="00B6082F" w:rsidP="00A615B0">
            <w:pPr>
              <w:spacing w:after="0" w:line="240" w:lineRule="auto"/>
              <w:ind w:right="-90"/>
              <w:rPr>
                <w:rFonts w:ascii="Verdana" w:eastAsia="Verdana" w:hAnsi="Verdana" w:cs="Verdana"/>
                <w:b/>
                <w:sz w:val="20"/>
                <w:szCs w:val="20"/>
              </w:rPr>
            </w:pPr>
            <w:r>
              <w:rPr>
                <w:rFonts w:ascii="Verdana" w:eastAsia="Verdana" w:hAnsi="Verdana" w:cs="Verdana"/>
                <w:b/>
                <w:sz w:val="20"/>
                <w:szCs w:val="20"/>
              </w:rPr>
              <w:t>Target Timeline/Due Dates</w:t>
            </w:r>
          </w:p>
        </w:tc>
        <w:tc>
          <w:tcPr>
            <w:tcW w:w="2550" w:type="dxa"/>
            <w:tcMar>
              <w:top w:w="100" w:type="dxa"/>
              <w:left w:w="100" w:type="dxa"/>
              <w:bottom w:w="100" w:type="dxa"/>
              <w:right w:w="100" w:type="dxa"/>
            </w:tcMar>
          </w:tcPr>
          <w:p w14:paraId="28AEB89E" w14:textId="77777777" w:rsidR="00B6082F" w:rsidRDefault="00B6082F" w:rsidP="00A615B0">
            <w:pPr>
              <w:spacing w:after="0" w:line="240" w:lineRule="auto"/>
              <w:ind w:left="90" w:right="-450"/>
              <w:rPr>
                <w:rFonts w:ascii="Verdana" w:eastAsia="Verdana" w:hAnsi="Verdana" w:cs="Verdana"/>
                <w:b/>
                <w:sz w:val="20"/>
                <w:szCs w:val="20"/>
              </w:rPr>
            </w:pPr>
            <w:r>
              <w:rPr>
                <w:rFonts w:ascii="Verdana" w:eastAsia="Verdana" w:hAnsi="Verdana" w:cs="Verdana"/>
                <w:b/>
                <w:sz w:val="20"/>
                <w:szCs w:val="20"/>
              </w:rPr>
              <w:t>Review/Approval</w:t>
            </w:r>
          </w:p>
        </w:tc>
      </w:tr>
      <w:tr w:rsidR="00B6082F" w14:paraId="416C2D01" w14:textId="77777777" w:rsidTr="00A615B0">
        <w:tc>
          <w:tcPr>
            <w:tcW w:w="600" w:type="dxa"/>
            <w:tcMar>
              <w:top w:w="100" w:type="dxa"/>
              <w:left w:w="100" w:type="dxa"/>
              <w:bottom w:w="100" w:type="dxa"/>
              <w:right w:w="100" w:type="dxa"/>
            </w:tcMar>
          </w:tcPr>
          <w:p w14:paraId="18325271" w14:textId="77777777" w:rsidR="00B6082F" w:rsidRDefault="00B6082F" w:rsidP="00A615B0">
            <w:pPr>
              <w:spacing w:after="0" w:line="240" w:lineRule="auto"/>
              <w:ind w:right="-75"/>
              <w:rPr>
                <w:rFonts w:ascii="Verdana" w:eastAsia="Verdana" w:hAnsi="Verdana" w:cs="Verdana"/>
                <w:sz w:val="20"/>
                <w:szCs w:val="20"/>
              </w:rPr>
            </w:pPr>
            <w:r>
              <w:rPr>
                <w:rFonts w:ascii="Verdana" w:eastAsia="Verdana" w:hAnsi="Verdana" w:cs="Verdana"/>
                <w:sz w:val="20"/>
                <w:szCs w:val="20"/>
              </w:rPr>
              <w:t>1</w:t>
            </w:r>
          </w:p>
        </w:tc>
        <w:tc>
          <w:tcPr>
            <w:tcW w:w="4350" w:type="dxa"/>
            <w:tcMar>
              <w:top w:w="100" w:type="dxa"/>
              <w:left w:w="100" w:type="dxa"/>
              <w:bottom w:w="100" w:type="dxa"/>
              <w:right w:w="100" w:type="dxa"/>
            </w:tcMar>
          </w:tcPr>
          <w:p w14:paraId="5D91766A" w14:textId="640A65F7" w:rsidR="00B6082F" w:rsidRDefault="00B6082F" w:rsidP="00A615B0">
            <w:pPr>
              <w:spacing w:after="0" w:line="240" w:lineRule="auto"/>
              <w:rPr>
                <w:rFonts w:ascii="Verdana" w:eastAsia="Verdana" w:hAnsi="Verdana" w:cs="Verdana"/>
                <w:sz w:val="20"/>
                <w:szCs w:val="20"/>
              </w:rPr>
            </w:pPr>
            <w:r>
              <w:rPr>
                <w:rFonts w:ascii="Verdana" w:eastAsia="Verdana" w:hAnsi="Verdana" w:cs="Verdana"/>
                <w:sz w:val="20"/>
                <w:szCs w:val="20"/>
              </w:rPr>
              <w:t>Output-based work plan, indicating the timing and estimated input of time in hours for carrying out jointly agreed activities</w:t>
            </w:r>
          </w:p>
        </w:tc>
        <w:tc>
          <w:tcPr>
            <w:tcW w:w="2610" w:type="dxa"/>
            <w:tcMar>
              <w:top w:w="100" w:type="dxa"/>
              <w:left w:w="100" w:type="dxa"/>
              <w:bottom w:w="100" w:type="dxa"/>
              <w:right w:w="100" w:type="dxa"/>
            </w:tcMar>
          </w:tcPr>
          <w:p w14:paraId="3078B7A5" w14:textId="77777777" w:rsidR="00B6082F" w:rsidRDefault="00B6082F" w:rsidP="00A615B0">
            <w:pPr>
              <w:widowControl w:val="0"/>
              <w:spacing w:after="0" w:line="240" w:lineRule="auto"/>
              <w:rPr>
                <w:rFonts w:ascii="Verdana" w:eastAsia="Verdana" w:hAnsi="Verdana" w:cs="Verdana"/>
                <w:sz w:val="20"/>
                <w:szCs w:val="20"/>
              </w:rPr>
            </w:pPr>
            <w:r>
              <w:rPr>
                <w:rFonts w:ascii="Verdana" w:eastAsia="Verdana" w:hAnsi="Verdana" w:cs="Verdana"/>
                <w:sz w:val="20"/>
                <w:szCs w:val="20"/>
              </w:rPr>
              <w:t>2 weeks post-contract signing</w:t>
            </w:r>
          </w:p>
        </w:tc>
        <w:tc>
          <w:tcPr>
            <w:tcW w:w="2550" w:type="dxa"/>
            <w:tcMar>
              <w:top w:w="100" w:type="dxa"/>
              <w:left w:w="100" w:type="dxa"/>
              <w:bottom w:w="100" w:type="dxa"/>
              <w:right w:w="100" w:type="dxa"/>
            </w:tcMar>
          </w:tcPr>
          <w:p w14:paraId="222A0771" w14:textId="280C94C7" w:rsidR="00B6082F" w:rsidRDefault="00285AF4" w:rsidP="00A615B0">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B6082F" w14:paraId="4F51E903" w14:textId="77777777" w:rsidTr="00A615B0">
        <w:tc>
          <w:tcPr>
            <w:tcW w:w="600" w:type="dxa"/>
            <w:tcMar>
              <w:top w:w="100" w:type="dxa"/>
              <w:left w:w="100" w:type="dxa"/>
              <w:bottom w:w="100" w:type="dxa"/>
              <w:right w:w="100" w:type="dxa"/>
            </w:tcMar>
          </w:tcPr>
          <w:p w14:paraId="5AF7D551" w14:textId="6A583CC7" w:rsidR="00B6082F" w:rsidRDefault="00B6082F" w:rsidP="00B6082F">
            <w:pPr>
              <w:spacing w:after="0" w:line="240" w:lineRule="auto"/>
              <w:ind w:right="-75"/>
              <w:rPr>
                <w:rFonts w:ascii="Verdana" w:eastAsia="Verdana" w:hAnsi="Verdana" w:cs="Verdana"/>
                <w:sz w:val="20"/>
                <w:szCs w:val="20"/>
              </w:rPr>
            </w:pPr>
            <w:r>
              <w:rPr>
                <w:rFonts w:ascii="Verdana" w:eastAsia="Verdana" w:hAnsi="Verdana" w:cs="Verdana"/>
                <w:sz w:val="20"/>
                <w:szCs w:val="20"/>
              </w:rPr>
              <w:t>2</w:t>
            </w:r>
          </w:p>
        </w:tc>
        <w:tc>
          <w:tcPr>
            <w:tcW w:w="4350" w:type="dxa"/>
            <w:tcMar>
              <w:top w:w="100" w:type="dxa"/>
              <w:left w:w="100" w:type="dxa"/>
              <w:bottom w:w="100" w:type="dxa"/>
              <w:right w:w="100" w:type="dxa"/>
            </w:tcMar>
          </w:tcPr>
          <w:p w14:paraId="70BF5AAA" w14:textId="7DB1FF29" w:rsidR="00B6082F" w:rsidRDefault="00B6082F" w:rsidP="00B6082F">
            <w:pPr>
              <w:spacing w:after="0" w:line="240" w:lineRule="auto"/>
              <w:rPr>
                <w:rFonts w:ascii="Verdana" w:eastAsia="Verdana" w:hAnsi="Verdana" w:cs="Verdana"/>
                <w:sz w:val="20"/>
                <w:szCs w:val="20"/>
              </w:rPr>
            </w:pPr>
            <w:r>
              <w:rPr>
                <w:rFonts w:ascii="Verdana" w:eastAsia="Verdana" w:hAnsi="Verdana" w:cs="Verdana"/>
                <w:sz w:val="20"/>
                <w:szCs w:val="20"/>
              </w:rPr>
              <w:t>Packages of local normative documents for each city</w:t>
            </w:r>
          </w:p>
        </w:tc>
        <w:tc>
          <w:tcPr>
            <w:tcW w:w="2610" w:type="dxa"/>
            <w:tcMar>
              <w:top w:w="100" w:type="dxa"/>
              <w:left w:w="100" w:type="dxa"/>
              <w:bottom w:w="100" w:type="dxa"/>
              <w:right w:w="100" w:type="dxa"/>
            </w:tcMar>
          </w:tcPr>
          <w:p w14:paraId="78062E94" w14:textId="5E92A5BA" w:rsidR="00B6082F" w:rsidRDefault="00B6082F" w:rsidP="00B6082F">
            <w:pPr>
              <w:widowControl w:val="0"/>
              <w:spacing w:after="0" w:line="240" w:lineRule="auto"/>
              <w:rPr>
                <w:rFonts w:ascii="Verdana" w:eastAsia="Verdana" w:hAnsi="Verdana" w:cs="Verdana"/>
                <w:sz w:val="20"/>
                <w:szCs w:val="20"/>
              </w:rPr>
            </w:pPr>
            <w:r>
              <w:rPr>
                <w:rFonts w:ascii="Verdana" w:eastAsia="Verdana" w:hAnsi="Verdana" w:cs="Verdana"/>
                <w:sz w:val="20"/>
                <w:szCs w:val="20"/>
              </w:rPr>
              <w:t>By the end of Month 3</w:t>
            </w:r>
          </w:p>
        </w:tc>
        <w:tc>
          <w:tcPr>
            <w:tcW w:w="2550" w:type="dxa"/>
            <w:tcMar>
              <w:top w:w="100" w:type="dxa"/>
              <w:left w:w="100" w:type="dxa"/>
              <w:bottom w:w="100" w:type="dxa"/>
              <w:right w:w="100" w:type="dxa"/>
            </w:tcMar>
          </w:tcPr>
          <w:p w14:paraId="2035E9AA" w14:textId="1FA725F2" w:rsidR="00B6082F" w:rsidRDefault="00285AF4" w:rsidP="00B6082F">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B6082F" w14:paraId="0F4AD223" w14:textId="77777777" w:rsidTr="00666328">
        <w:tc>
          <w:tcPr>
            <w:tcW w:w="600" w:type="dxa"/>
            <w:tcMar>
              <w:top w:w="100" w:type="dxa"/>
              <w:left w:w="100" w:type="dxa"/>
              <w:bottom w:w="100" w:type="dxa"/>
              <w:right w:w="100" w:type="dxa"/>
            </w:tcMar>
          </w:tcPr>
          <w:p w14:paraId="62478B0D" w14:textId="56209D72" w:rsidR="00B6082F" w:rsidRDefault="00B6082F" w:rsidP="00B6082F">
            <w:pPr>
              <w:spacing w:after="0" w:line="240" w:lineRule="auto"/>
              <w:ind w:right="-75"/>
              <w:rPr>
                <w:rFonts w:ascii="Verdana" w:eastAsia="Verdana" w:hAnsi="Verdana" w:cs="Verdana"/>
                <w:sz w:val="20"/>
                <w:szCs w:val="20"/>
              </w:rPr>
            </w:pPr>
            <w:r>
              <w:rPr>
                <w:rFonts w:ascii="Verdana" w:eastAsia="Verdana" w:hAnsi="Verdana" w:cs="Verdana"/>
                <w:sz w:val="20"/>
                <w:szCs w:val="20"/>
              </w:rPr>
              <w:t>3</w:t>
            </w:r>
          </w:p>
        </w:tc>
        <w:tc>
          <w:tcPr>
            <w:tcW w:w="4350" w:type="dxa"/>
            <w:tcMar>
              <w:top w:w="100" w:type="dxa"/>
              <w:left w:w="100" w:type="dxa"/>
              <w:bottom w:w="100" w:type="dxa"/>
              <w:right w:w="100" w:type="dxa"/>
            </w:tcMar>
          </w:tcPr>
          <w:p w14:paraId="6DAE67F5" w14:textId="75AD996D" w:rsidR="00B6082F" w:rsidRDefault="00B6082F" w:rsidP="00B6082F">
            <w:pPr>
              <w:spacing w:after="0" w:line="240" w:lineRule="auto"/>
              <w:rPr>
                <w:rFonts w:ascii="Verdana" w:eastAsia="Verdana" w:hAnsi="Verdana" w:cs="Verdana"/>
                <w:sz w:val="20"/>
                <w:szCs w:val="20"/>
              </w:rPr>
            </w:pPr>
            <w:r>
              <w:rPr>
                <w:rFonts w:ascii="Verdana" w:eastAsia="Verdana" w:hAnsi="Verdana" w:cs="Verdana"/>
                <w:sz w:val="20"/>
                <w:szCs w:val="20"/>
              </w:rPr>
              <w:t>Two training sessions and training materials for municipal staff in all 3 cities</w:t>
            </w:r>
          </w:p>
        </w:tc>
        <w:tc>
          <w:tcPr>
            <w:tcW w:w="2610" w:type="dxa"/>
            <w:tcMar>
              <w:top w:w="100" w:type="dxa"/>
              <w:left w:w="100" w:type="dxa"/>
              <w:bottom w:w="100" w:type="dxa"/>
              <w:right w:w="100" w:type="dxa"/>
            </w:tcMar>
            <w:vAlign w:val="center"/>
          </w:tcPr>
          <w:p w14:paraId="56D713F8" w14:textId="1CF12655" w:rsidR="00B6082F" w:rsidRDefault="00B6082F" w:rsidP="00B6082F">
            <w:pPr>
              <w:widowControl w:val="0"/>
              <w:spacing w:after="0" w:line="240" w:lineRule="auto"/>
              <w:rPr>
                <w:rFonts w:ascii="Verdana" w:eastAsia="Verdana" w:hAnsi="Verdana" w:cs="Verdana"/>
                <w:sz w:val="20"/>
                <w:szCs w:val="20"/>
              </w:rPr>
            </w:pPr>
            <w:r>
              <w:rPr>
                <w:rFonts w:ascii="Verdana" w:eastAsia="Verdana" w:hAnsi="Verdana" w:cs="Verdana"/>
                <w:sz w:val="20"/>
                <w:szCs w:val="20"/>
              </w:rPr>
              <w:t>By the end of Month 9</w:t>
            </w:r>
          </w:p>
        </w:tc>
        <w:tc>
          <w:tcPr>
            <w:tcW w:w="2550" w:type="dxa"/>
            <w:tcMar>
              <w:top w:w="100" w:type="dxa"/>
              <w:left w:w="100" w:type="dxa"/>
              <w:bottom w:w="100" w:type="dxa"/>
              <w:right w:w="100" w:type="dxa"/>
            </w:tcMar>
          </w:tcPr>
          <w:p w14:paraId="1425F593" w14:textId="1DE2C192" w:rsidR="00B6082F" w:rsidRDefault="00285AF4" w:rsidP="00B6082F">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285AF4" w14:paraId="20491F1A" w14:textId="77777777" w:rsidTr="00DC5C91">
        <w:tc>
          <w:tcPr>
            <w:tcW w:w="600" w:type="dxa"/>
            <w:tcMar>
              <w:top w:w="100" w:type="dxa"/>
              <w:left w:w="100" w:type="dxa"/>
              <w:bottom w:w="100" w:type="dxa"/>
              <w:right w:w="100" w:type="dxa"/>
            </w:tcMar>
          </w:tcPr>
          <w:p w14:paraId="43EC116F" w14:textId="409CF5D9" w:rsidR="00285AF4" w:rsidRDefault="00285AF4" w:rsidP="00285AF4">
            <w:pPr>
              <w:spacing w:after="0" w:line="240" w:lineRule="auto"/>
              <w:ind w:right="-75"/>
              <w:rPr>
                <w:rFonts w:ascii="Verdana" w:eastAsia="Verdana" w:hAnsi="Verdana" w:cs="Verdana"/>
                <w:sz w:val="20"/>
                <w:szCs w:val="20"/>
              </w:rPr>
            </w:pPr>
            <w:r>
              <w:rPr>
                <w:rFonts w:ascii="Verdana" w:eastAsia="Verdana" w:hAnsi="Verdana" w:cs="Verdana"/>
                <w:sz w:val="20"/>
                <w:szCs w:val="20"/>
              </w:rPr>
              <w:t>4</w:t>
            </w:r>
          </w:p>
        </w:tc>
        <w:tc>
          <w:tcPr>
            <w:tcW w:w="4350" w:type="dxa"/>
            <w:tcMar>
              <w:top w:w="100" w:type="dxa"/>
              <w:left w:w="100" w:type="dxa"/>
              <w:bottom w:w="100" w:type="dxa"/>
              <w:right w:w="100" w:type="dxa"/>
            </w:tcMar>
          </w:tcPr>
          <w:p w14:paraId="5265AB43" w14:textId="52E53844"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 xml:space="preserve">Presentations and analytical documents on request of management </w:t>
            </w:r>
          </w:p>
        </w:tc>
        <w:tc>
          <w:tcPr>
            <w:tcW w:w="2610" w:type="dxa"/>
            <w:tcMar>
              <w:top w:w="100" w:type="dxa"/>
              <w:left w:w="100" w:type="dxa"/>
              <w:bottom w:w="100" w:type="dxa"/>
              <w:right w:w="100" w:type="dxa"/>
            </w:tcMar>
          </w:tcPr>
          <w:p w14:paraId="2167FE50" w14:textId="759CF8F2"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Constantly</w:t>
            </w:r>
          </w:p>
        </w:tc>
        <w:tc>
          <w:tcPr>
            <w:tcW w:w="2550" w:type="dxa"/>
            <w:tcMar>
              <w:top w:w="100" w:type="dxa"/>
              <w:left w:w="100" w:type="dxa"/>
              <w:bottom w:w="100" w:type="dxa"/>
              <w:right w:w="100" w:type="dxa"/>
            </w:tcMar>
          </w:tcPr>
          <w:p w14:paraId="2D93F5CA" w14:textId="7745E596"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285AF4" w14:paraId="6A7CB10A" w14:textId="77777777" w:rsidTr="00DC5C91">
        <w:tc>
          <w:tcPr>
            <w:tcW w:w="600" w:type="dxa"/>
            <w:tcMar>
              <w:top w:w="100" w:type="dxa"/>
              <w:left w:w="100" w:type="dxa"/>
              <w:bottom w:w="100" w:type="dxa"/>
              <w:right w:w="100" w:type="dxa"/>
            </w:tcMar>
          </w:tcPr>
          <w:p w14:paraId="556D30B0" w14:textId="2B342BCA" w:rsidR="00285AF4" w:rsidRDefault="00285AF4" w:rsidP="00285AF4">
            <w:pPr>
              <w:spacing w:after="0" w:line="240" w:lineRule="auto"/>
              <w:ind w:right="-75"/>
              <w:rPr>
                <w:rFonts w:ascii="Verdana" w:eastAsia="Verdana" w:hAnsi="Verdana" w:cs="Verdana"/>
                <w:sz w:val="20"/>
                <w:szCs w:val="20"/>
              </w:rPr>
            </w:pPr>
            <w:r>
              <w:rPr>
                <w:rFonts w:ascii="Verdana" w:eastAsia="Verdana" w:hAnsi="Verdana" w:cs="Verdana"/>
                <w:sz w:val="20"/>
                <w:szCs w:val="20"/>
              </w:rPr>
              <w:t>5</w:t>
            </w:r>
          </w:p>
        </w:tc>
        <w:tc>
          <w:tcPr>
            <w:tcW w:w="4350" w:type="dxa"/>
            <w:tcMar>
              <w:top w:w="100" w:type="dxa"/>
              <w:left w:w="100" w:type="dxa"/>
              <w:bottom w:w="100" w:type="dxa"/>
              <w:right w:w="100" w:type="dxa"/>
            </w:tcMar>
          </w:tcPr>
          <w:p w14:paraId="58F1A880" w14:textId="6B049E27"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Advisory support for each Roadmap implementation phase</w:t>
            </w:r>
          </w:p>
        </w:tc>
        <w:tc>
          <w:tcPr>
            <w:tcW w:w="2610" w:type="dxa"/>
            <w:tcMar>
              <w:top w:w="100" w:type="dxa"/>
              <w:left w:w="100" w:type="dxa"/>
              <w:bottom w:w="100" w:type="dxa"/>
              <w:right w:w="100" w:type="dxa"/>
            </w:tcMar>
          </w:tcPr>
          <w:p w14:paraId="49DA2B2A" w14:textId="2720CEEA"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 xml:space="preserve">Constantly </w:t>
            </w:r>
          </w:p>
        </w:tc>
        <w:tc>
          <w:tcPr>
            <w:tcW w:w="2550" w:type="dxa"/>
            <w:tcMar>
              <w:top w:w="100" w:type="dxa"/>
              <w:left w:w="100" w:type="dxa"/>
              <w:bottom w:w="100" w:type="dxa"/>
              <w:right w:w="100" w:type="dxa"/>
            </w:tcMar>
          </w:tcPr>
          <w:p w14:paraId="51B6BCFA" w14:textId="56D654E0"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285AF4" w14:paraId="3C74CF0F" w14:textId="77777777" w:rsidTr="00DC5C91">
        <w:tc>
          <w:tcPr>
            <w:tcW w:w="600" w:type="dxa"/>
            <w:tcMar>
              <w:top w:w="100" w:type="dxa"/>
              <w:left w:w="100" w:type="dxa"/>
              <w:bottom w:w="100" w:type="dxa"/>
              <w:right w:w="100" w:type="dxa"/>
            </w:tcMar>
          </w:tcPr>
          <w:p w14:paraId="414BEF5F" w14:textId="57701AA9" w:rsidR="00285AF4" w:rsidRDefault="00285AF4" w:rsidP="00285AF4">
            <w:pPr>
              <w:spacing w:after="0" w:line="240" w:lineRule="auto"/>
              <w:ind w:right="-75"/>
              <w:rPr>
                <w:rFonts w:ascii="Verdana" w:eastAsia="Verdana" w:hAnsi="Verdana" w:cs="Verdana"/>
                <w:sz w:val="20"/>
                <w:szCs w:val="20"/>
              </w:rPr>
            </w:pPr>
            <w:r>
              <w:rPr>
                <w:rFonts w:ascii="Verdana" w:eastAsia="Verdana" w:hAnsi="Verdana" w:cs="Verdana"/>
                <w:sz w:val="20"/>
                <w:szCs w:val="20"/>
              </w:rPr>
              <w:t>6</w:t>
            </w:r>
          </w:p>
        </w:tc>
        <w:tc>
          <w:tcPr>
            <w:tcW w:w="4350" w:type="dxa"/>
            <w:tcMar>
              <w:top w:w="100" w:type="dxa"/>
              <w:left w:w="100" w:type="dxa"/>
              <w:bottom w:w="100" w:type="dxa"/>
              <w:right w:w="100" w:type="dxa"/>
            </w:tcMar>
          </w:tcPr>
          <w:p w14:paraId="192AF6EA" w14:textId="12CCB618"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 xml:space="preserve">Invoices and timesheets, </w:t>
            </w:r>
            <w:proofErr w:type="spellStart"/>
            <w:r>
              <w:rPr>
                <w:rFonts w:ascii="Verdana" w:eastAsia="Verdana" w:hAnsi="Verdana" w:cs="Verdana"/>
                <w:sz w:val="20"/>
                <w:szCs w:val="20"/>
              </w:rPr>
              <w:t>summarising</w:t>
            </w:r>
            <w:proofErr w:type="spellEnd"/>
            <w:r>
              <w:rPr>
                <w:rFonts w:ascii="Verdana" w:eastAsia="Verdana" w:hAnsi="Verdana" w:cs="Verdana"/>
                <w:sz w:val="20"/>
                <w:szCs w:val="20"/>
              </w:rPr>
              <w:t xml:space="preserve"> actual days worked and expenses incurred regarding the agreed work plan</w:t>
            </w:r>
          </w:p>
        </w:tc>
        <w:tc>
          <w:tcPr>
            <w:tcW w:w="2610" w:type="dxa"/>
            <w:tcMar>
              <w:top w:w="100" w:type="dxa"/>
              <w:left w:w="100" w:type="dxa"/>
              <w:bottom w:w="100" w:type="dxa"/>
              <w:right w:w="100" w:type="dxa"/>
            </w:tcMar>
          </w:tcPr>
          <w:p w14:paraId="6168278A" w14:textId="77777777"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Quarterly (or Monthly</w:t>
            </w:r>
          </w:p>
          <w:p w14:paraId="204F3BF6" w14:textId="73C1C6C0"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 xml:space="preserve">as </w:t>
            </w:r>
            <w:proofErr w:type="gramStart"/>
            <w:r>
              <w:rPr>
                <w:rFonts w:ascii="Verdana" w:eastAsia="Verdana" w:hAnsi="Verdana" w:cs="Verdana"/>
                <w:sz w:val="20"/>
                <w:szCs w:val="20"/>
              </w:rPr>
              <w:t>agreed</w:t>
            </w:r>
            <w:proofErr w:type="gramEnd"/>
            <w:r>
              <w:rPr>
                <w:rFonts w:ascii="Verdana" w:eastAsia="Verdana" w:hAnsi="Verdana" w:cs="Verdana"/>
                <w:sz w:val="20"/>
                <w:szCs w:val="20"/>
              </w:rPr>
              <w:t>) / max 2 weeks after the end of the period</w:t>
            </w:r>
          </w:p>
        </w:tc>
        <w:tc>
          <w:tcPr>
            <w:tcW w:w="2550" w:type="dxa"/>
            <w:tcMar>
              <w:top w:w="100" w:type="dxa"/>
              <w:left w:w="100" w:type="dxa"/>
              <w:bottom w:w="100" w:type="dxa"/>
              <w:right w:w="100" w:type="dxa"/>
            </w:tcMar>
          </w:tcPr>
          <w:p w14:paraId="1ABC14C0" w14:textId="7595BD59"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tc>
      </w:tr>
      <w:tr w:rsidR="00285AF4" w14:paraId="16DE43CD" w14:textId="77777777" w:rsidTr="00DC5C91">
        <w:tc>
          <w:tcPr>
            <w:tcW w:w="600" w:type="dxa"/>
            <w:tcMar>
              <w:top w:w="100" w:type="dxa"/>
              <w:left w:w="100" w:type="dxa"/>
              <w:bottom w:w="100" w:type="dxa"/>
              <w:right w:w="100" w:type="dxa"/>
            </w:tcMar>
          </w:tcPr>
          <w:p w14:paraId="3B594955" w14:textId="347AB4A3" w:rsidR="00285AF4" w:rsidRDefault="00285AF4" w:rsidP="00285AF4">
            <w:pPr>
              <w:spacing w:after="0" w:line="240" w:lineRule="auto"/>
              <w:ind w:right="-75"/>
              <w:rPr>
                <w:rFonts w:ascii="Verdana" w:eastAsia="Verdana" w:hAnsi="Verdana" w:cs="Verdana"/>
                <w:sz w:val="20"/>
                <w:szCs w:val="20"/>
              </w:rPr>
            </w:pPr>
            <w:r>
              <w:rPr>
                <w:rFonts w:ascii="Verdana" w:eastAsia="Verdana" w:hAnsi="Verdana" w:cs="Verdana"/>
                <w:sz w:val="20"/>
                <w:szCs w:val="20"/>
              </w:rPr>
              <w:t>7</w:t>
            </w:r>
          </w:p>
        </w:tc>
        <w:tc>
          <w:tcPr>
            <w:tcW w:w="4350" w:type="dxa"/>
            <w:tcMar>
              <w:top w:w="100" w:type="dxa"/>
              <w:left w:w="100" w:type="dxa"/>
              <w:bottom w:w="100" w:type="dxa"/>
              <w:right w:w="100" w:type="dxa"/>
            </w:tcMar>
          </w:tcPr>
          <w:p w14:paraId="6B5F26A8" w14:textId="075F80A3"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Final report</w:t>
            </w:r>
          </w:p>
        </w:tc>
        <w:tc>
          <w:tcPr>
            <w:tcW w:w="2610" w:type="dxa"/>
            <w:tcMar>
              <w:top w:w="100" w:type="dxa"/>
              <w:left w:w="100" w:type="dxa"/>
              <w:bottom w:w="100" w:type="dxa"/>
              <w:right w:w="100" w:type="dxa"/>
            </w:tcMar>
          </w:tcPr>
          <w:p w14:paraId="3C5AE0A2" w14:textId="688D24D1" w:rsidR="00285AF4" w:rsidRDefault="00285AF4" w:rsidP="00285AF4">
            <w:pPr>
              <w:spacing w:after="0" w:line="240" w:lineRule="auto"/>
              <w:rPr>
                <w:rFonts w:ascii="Verdana" w:eastAsia="Verdana" w:hAnsi="Verdana" w:cs="Verdana"/>
                <w:sz w:val="20"/>
                <w:szCs w:val="20"/>
              </w:rPr>
            </w:pPr>
            <w:r>
              <w:rPr>
                <w:rFonts w:ascii="Verdana" w:eastAsia="Verdana" w:hAnsi="Verdana" w:cs="Verdana"/>
                <w:sz w:val="20"/>
                <w:szCs w:val="20"/>
              </w:rPr>
              <w:t xml:space="preserve">2 weeks before the end of the contract date </w:t>
            </w:r>
          </w:p>
        </w:tc>
        <w:tc>
          <w:tcPr>
            <w:tcW w:w="2550" w:type="dxa"/>
            <w:tcMar>
              <w:top w:w="100" w:type="dxa"/>
              <w:left w:w="100" w:type="dxa"/>
              <w:bottom w:w="100" w:type="dxa"/>
              <w:right w:w="100" w:type="dxa"/>
            </w:tcMar>
          </w:tcPr>
          <w:p w14:paraId="2FDFCF04" w14:textId="77777777" w:rsidR="00285AF4" w:rsidRDefault="00285AF4" w:rsidP="00285AF4">
            <w:pPr>
              <w:widowControl w:val="0"/>
              <w:spacing w:after="0" w:line="240" w:lineRule="auto"/>
              <w:rPr>
                <w:rFonts w:ascii="Verdana" w:eastAsia="Verdana" w:hAnsi="Verdana" w:cs="Verdana"/>
                <w:sz w:val="20"/>
                <w:szCs w:val="20"/>
              </w:rPr>
            </w:pPr>
            <w:r>
              <w:rPr>
                <w:rFonts w:ascii="Verdana" w:eastAsia="Verdana" w:hAnsi="Verdana" w:cs="Verdana"/>
                <w:sz w:val="20"/>
                <w:szCs w:val="20"/>
              </w:rPr>
              <w:t>Senior project manager for Integrity Cities</w:t>
            </w:r>
          </w:p>
          <w:p w14:paraId="05688C62" w14:textId="39A16287" w:rsidR="00E3033F" w:rsidRDefault="00E3033F" w:rsidP="00285AF4">
            <w:pPr>
              <w:widowControl w:val="0"/>
              <w:spacing w:after="0" w:line="240" w:lineRule="auto"/>
              <w:rPr>
                <w:rFonts w:ascii="Verdana" w:eastAsia="Verdana" w:hAnsi="Verdana" w:cs="Verdana"/>
                <w:sz w:val="20"/>
                <w:szCs w:val="20"/>
              </w:rPr>
            </w:pPr>
          </w:p>
        </w:tc>
      </w:tr>
    </w:tbl>
    <w:p w14:paraId="221FB0A2" w14:textId="34C80501" w:rsidR="00B6082F" w:rsidRDefault="00B6082F" w:rsidP="00B6082F">
      <w:pPr>
        <w:pBdr>
          <w:top w:val="nil"/>
          <w:left w:val="nil"/>
          <w:bottom w:val="nil"/>
          <w:right w:val="nil"/>
          <w:between w:val="nil"/>
        </w:pBdr>
        <w:spacing w:after="0"/>
        <w:ind w:left="-540" w:right="-450"/>
        <w:jc w:val="both"/>
        <w:rPr>
          <w:rFonts w:ascii="Verdana" w:eastAsia="Verdana" w:hAnsi="Verdana" w:cs="Verdana"/>
          <w:sz w:val="20"/>
          <w:szCs w:val="20"/>
        </w:rPr>
      </w:pPr>
    </w:p>
    <w:p w14:paraId="7874BC25" w14:textId="77777777" w:rsidR="00B6082F" w:rsidRDefault="00B6082F" w:rsidP="00B6082F">
      <w:pPr>
        <w:pBdr>
          <w:top w:val="nil"/>
          <w:left w:val="nil"/>
          <w:bottom w:val="nil"/>
          <w:right w:val="nil"/>
          <w:between w:val="nil"/>
        </w:pBdr>
        <w:spacing w:after="0"/>
        <w:ind w:left="-540" w:right="-450"/>
        <w:jc w:val="both"/>
        <w:rPr>
          <w:rFonts w:ascii="Verdana" w:eastAsia="Verdana" w:hAnsi="Verdana" w:cs="Verdana"/>
          <w:sz w:val="20"/>
          <w:szCs w:val="20"/>
        </w:rPr>
      </w:pPr>
    </w:p>
    <w:p w14:paraId="77E68116" w14:textId="77777777" w:rsidR="00B6082F" w:rsidRDefault="00B6082F" w:rsidP="00B6082F">
      <w:pPr>
        <w:spacing w:before="100" w:after="0"/>
        <w:ind w:right="-450"/>
        <w:jc w:val="both"/>
        <w:rPr>
          <w:rFonts w:ascii="Verdana" w:eastAsia="Verdana" w:hAnsi="Verdana" w:cs="Verdana"/>
          <w:sz w:val="20"/>
          <w:szCs w:val="20"/>
        </w:rPr>
      </w:pPr>
    </w:p>
    <w:p w14:paraId="0FA6B094" w14:textId="77777777" w:rsidR="004F0CB3" w:rsidRDefault="00AC1403">
      <w:pPr>
        <w:numPr>
          <w:ilvl w:val="0"/>
          <w:numId w:val="5"/>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KNOWLEDGE, SKILLS AND ABILITIES</w:t>
      </w:r>
    </w:p>
    <w:p w14:paraId="08D0D597" w14:textId="77777777" w:rsidR="004F0CB3" w:rsidRDefault="00AC1403">
      <w:pPr>
        <w:ind w:left="-540" w:right="-450"/>
        <w:rPr>
          <w:rFonts w:ascii="Verdana" w:eastAsia="Verdana" w:hAnsi="Verdana" w:cs="Verdana"/>
          <w:sz w:val="20"/>
          <w:szCs w:val="20"/>
        </w:rPr>
      </w:pPr>
      <w:r>
        <w:rPr>
          <w:rFonts w:ascii="Verdana" w:eastAsia="Verdana" w:hAnsi="Verdana" w:cs="Verdana"/>
          <w:sz w:val="20"/>
          <w:szCs w:val="20"/>
        </w:rPr>
        <w:t>The Contractor's core team shall include the following profiles:</w:t>
      </w:r>
    </w:p>
    <w:p w14:paraId="4E9EC1B2" w14:textId="77777777" w:rsidR="004F0CB3" w:rsidRDefault="00AC1403">
      <w:pPr>
        <w:ind w:right="-450"/>
        <w:jc w:val="center"/>
        <w:rPr>
          <w:rFonts w:ascii="Verdana" w:eastAsia="Verdana" w:hAnsi="Verdana" w:cs="Verdana"/>
          <w:b/>
          <w:sz w:val="20"/>
          <w:szCs w:val="20"/>
        </w:rPr>
      </w:pPr>
      <w:r>
        <w:rPr>
          <w:rFonts w:ascii="Verdana" w:eastAsia="Verdana" w:hAnsi="Verdana" w:cs="Verdana"/>
          <w:b/>
          <w:sz w:val="20"/>
          <w:szCs w:val="20"/>
        </w:rPr>
        <w:t>Position: Technical Supervision Consultant</w:t>
      </w:r>
    </w:p>
    <w:tbl>
      <w:tblPr>
        <w:tblStyle w:val="a7"/>
        <w:tblW w:w="10065" w:type="dxa"/>
        <w:tblInd w:w="-495" w:type="dxa"/>
        <w:tblLayout w:type="fixed"/>
        <w:tblLook w:val="0600" w:firstRow="0" w:lastRow="0" w:firstColumn="0" w:lastColumn="0" w:noHBand="1" w:noVBand="1"/>
      </w:tblPr>
      <w:tblGrid>
        <w:gridCol w:w="2685"/>
        <w:gridCol w:w="7380"/>
      </w:tblGrid>
      <w:tr w:rsidR="004F0CB3" w14:paraId="6E2FDFB7" w14:textId="77777777">
        <w:trPr>
          <w:trHeight w:val="51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3B799A36" w14:textId="77777777" w:rsidR="004F0CB3" w:rsidRDefault="00AC1403">
            <w:pPr>
              <w:ind w:right="-120"/>
              <w:jc w:val="center"/>
              <w:rPr>
                <w:rFonts w:ascii="Verdana" w:eastAsia="Verdana" w:hAnsi="Verdana" w:cs="Verdana"/>
                <w:sz w:val="20"/>
                <w:szCs w:val="20"/>
              </w:rPr>
            </w:pPr>
            <w:r>
              <w:rPr>
                <w:rFonts w:ascii="Verdana" w:eastAsia="Verdana" w:hAnsi="Verdana" w:cs="Verdana"/>
                <w:sz w:val="20"/>
                <w:szCs w:val="20"/>
              </w:rPr>
              <w:t>Requirement</w:t>
            </w:r>
          </w:p>
        </w:tc>
        <w:tc>
          <w:tcPr>
            <w:tcW w:w="7380"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431DED92" w14:textId="77777777" w:rsidR="004F0CB3" w:rsidRDefault="00AC1403">
            <w:pPr>
              <w:ind w:right="-450"/>
              <w:jc w:val="center"/>
              <w:rPr>
                <w:rFonts w:ascii="Verdana" w:eastAsia="Verdana" w:hAnsi="Verdana" w:cs="Verdana"/>
                <w:sz w:val="20"/>
                <w:szCs w:val="20"/>
              </w:rPr>
            </w:pPr>
            <w:r>
              <w:rPr>
                <w:rFonts w:ascii="Verdana" w:eastAsia="Verdana" w:hAnsi="Verdana" w:cs="Verdana"/>
                <w:sz w:val="20"/>
                <w:szCs w:val="20"/>
              </w:rPr>
              <w:t>Description</w:t>
            </w:r>
          </w:p>
        </w:tc>
      </w:tr>
      <w:tr w:rsidR="004F0CB3" w14:paraId="1230A709" w14:textId="77777777">
        <w:trPr>
          <w:trHeight w:val="1640"/>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3DA65BFA" w14:textId="77777777" w:rsidR="004F0CB3" w:rsidRDefault="00AC1403">
            <w:pPr>
              <w:ind w:right="-120"/>
              <w:rPr>
                <w:rFonts w:ascii="Verdana" w:eastAsia="Verdana" w:hAnsi="Verdana" w:cs="Verdana"/>
                <w:sz w:val="20"/>
                <w:szCs w:val="20"/>
              </w:rPr>
            </w:pPr>
            <w:r>
              <w:rPr>
                <w:rFonts w:ascii="Verdana" w:eastAsia="Verdana" w:hAnsi="Verdana" w:cs="Verdana"/>
                <w:sz w:val="20"/>
                <w:szCs w:val="20"/>
              </w:rPr>
              <w:t>1-General Qualifications</w:t>
            </w:r>
          </w:p>
        </w:tc>
        <w:tc>
          <w:tcPr>
            <w:tcW w:w="7380"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32236043" w14:textId="77777777" w:rsidR="004F0CB3" w:rsidRDefault="00AC1403">
            <w:pPr>
              <w:ind w:right="-30"/>
              <w:rPr>
                <w:rFonts w:ascii="Verdana" w:eastAsia="Verdana" w:hAnsi="Verdana" w:cs="Verdana"/>
                <w:sz w:val="20"/>
                <w:szCs w:val="20"/>
              </w:rPr>
            </w:pPr>
            <w:r>
              <w:rPr>
                <w:rFonts w:ascii="Verdana" w:eastAsia="Verdana" w:hAnsi="Verdana" w:cs="Verdana"/>
                <w:sz w:val="20"/>
                <w:szCs w:val="20"/>
              </w:rPr>
              <w:t>Master’s degree (or equivalent) in construction, architecture, engineering, or a related field relevant to the duties and responsibilities of the consultancy. At least 5 years of proven professional experience in the field of technical supervision, engineering, or construction oversight. Certification as a Technical Supervision Engineer would be considered a strong advantage.</w:t>
            </w:r>
          </w:p>
        </w:tc>
      </w:tr>
      <w:tr w:rsidR="004F0CB3" w14:paraId="215921A0" w14:textId="77777777">
        <w:trPr>
          <w:trHeight w:val="1640"/>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6F84BCB0" w14:textId="77777777" w:rsidR="004F0CB3" w:rsidRDefault="00AC1403">
            <w:pPr>
              <w:ind w:right="-120"/>
              <w:rPr>
                <w:rFonts w:ascii="Verdana" w:eastAsia="Verdana" w:hAnsi="Verdana" w:cs="Verdana"/>
                <w:sz w:val="20"/>
                <w:szCs w:val="20"/>
              </w:rPr>
            </w:pPr>
            <w:r>
              <w:rPr>
                <w:rFonts w:ascii="Verdana" w:eastAsia="Verdana" w:hAnsi="Verdana" w:cs="Verdana"/>
                <w:sz w:val="20"/>
                <w:szCs w:val="20"/>
              </w:rPr>
              <w:t>2-Adequacy for the assignment</w:t>
            </w:r>
          </w:p>
        </w:tc>
        <w:tc>
          <w:tcPr>
            <w:tcW w:w="7380"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5247A386" w14:textId="77777777" w:rsidR="004F0CB3" w:rsidRDefault="00AC1403">
            <w:pPr>
              <w:ind w:right="-30"/>
              <w:rPr>
                <w:rFonts w:ascii="Verdana" w:eastAsia="Verdana" w:hAnsi="Verdana" w:cs="Verdana"/>
                <w:sz w:val="20"/>
                <w:szCs w:val="20"/>
              </w:rPr>
            </w:pPr>
            <w:r>
              <w:rPr>
                <w:rFonts w:ascii="Verdana" w:eastAsia="Verdana" w:hAnsi="Verdana" w:cs="Verdana"/>
                <w:sz w:val="20"/>
                <w:szCs w:val="20"/>
              </w:rPr>
              <w:t>Experience in managing or performing technical supervision in municipal or public sector projects. Experience in developing or contributing to the development of regulatory and procedural documents in technical supervision. Experience in working with electronic monitoring tools for construction oversight would be an advantage.</w:t>
            </w:r>
          </w:p>
        </w:tc>
      </w:tr>
      <w:tr w:rsidR="004F0CB3" w14:paraId="1F5994BB" w14:textId="77777777">
        <w:trPr>
          <w:trHeight w:val="108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736BB7B6" w14:textId="77777777" w:rsidR="004F0CB3" w:rsidRDefault="00AC1403">
            <w:pPr>
              <w:ind w:right="-120"/>
              <w:rPr>
                <w:rFonts w:ascii="Verdana" w:eastAsia="Verdana" w:hAnsi="Verdana" w:cs="Verdana"/>
                <w:sz w:val="20"/>
                <w:szCs w:val="20"/>
              </w:rPr>
            </w:pPr>
            <w:r>
              <w:rPr>
                <w:rFonts w:ascii="Verdana" w:eastAsia="Verdana" w:hAnsi="Verdana" w:cs="Verdana"/>
                <w:sz w:val="20"/>
                <w:szCs w:val="20"/>
              </w:rPr>
              <w:t>3-Experience in the region and language</w:t>
            </w:r>
          </w:p>
        </w:tc>
        <w:tc>
          <w:tcPr>
            <w:tcW w:w="7380"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0673B0FD" w14:textId="77777777" w:rsidR="004F0CB3" w:rsidRDefault="00AC1403">
            <w:pPr>
              <w:ind w:right="-30"/>
              <w:rPr>
                <w:rFonts w:ascii="Verdana" w:eastAsia="Verdana" w:hAnsi="Verdana" w:cs="Verdana"/>
                <w:sz w:val="20"/>
                <w:szCs w:val="20"/>
              </w:rPr>
            </w:pPr>
            <w:r>
              <w:rPr>
                <w:rFonts w:ascii="Verdana" w:eastAsia="Verdana" w:hAnsi="Verdana" w:cs="Verdana"/>
                <w:sz w:val="20"/>
                <w:szCs w:val="20"/>
              </w:rPr>
              <w:t>Relevant working experience in Ukraine. Basic English language communication skills (verbal and written, A2-level), fluency in Ukrainian.</w:t>
            </w:r>
          </w:p>
        </w:tc>
      </w:tr>
    </w:tbl>
    <w:p w14:paraId="4AAB93F6" w14:textId="77777777" w:rsidR="004F0CB3" w:rsidRDefault="00AC1403">
      <w:pPr>
        <w:spacing w:before="200"/>
        <w:ind w:right="-450"/>
        <w:jc w:val="center"/>
        <w:rPr>
          <w:rFonts w:ascii="Verdana" w:eastAsia="Verdana" w:hAnsi="Verdana" w:cs="Verdana"/>
          <w:b/>
          <w:sz w:val="20"/>
          <w:szCs w:val="20"/>
        </w:rPr>
      </w:pPr>
      <w:r>
        <w:rPr>
          <w:rFonts w:ascii="Verdana" w:eastAsia="Verdana" w:hAnsi="Verdana" w:cs="Verdana"/>
          <w:b/>
          <w:sz w:val="20"/>
          <w:szCs w:val="20"/>
        </w:rPr>
        <w:t>Position: Legal Expert</w:t>
      </w:r>
    </w:p>
    <w:tbl>
      <w:tblPr>
        <w:tblStyle w:val="a8"/>
        <w:tblW w:w="10050" w:type="dxa"/>
        <w:tblInd w:w="-495" w:type="dxa"/>
        <w:tblLayout w:type="fixed"/>
        <w:tblLook w:val="0600" w:firstRow="0" w:lastRow="0" w:firstColumn="0" w:lastColumn="0" w:noHBand="1" w:noVBand="1"/>
      </w:tblPr>
      <w:tblGrid>
        <w:gridCol w:w="2685"/>
        <w:gridCol w:w="7365"/>
      </w:tblGrid>
      <w:tr w:rsidR="004F0CB3" w14:paraId="6FC603AE" w14:textId="77777777">
        <w:trPr>
          <w:trHeight w:val="51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33582FE4" w14:textId="77777777" w:rsidR="004F0CB3" w:rsidRDefault="00AC1403">
            <w:pPr>
              <w:ind w:right="-450"/>
              <w:jc w:val="center"/>
              <w:rPr>
                <w:rFonts w:ascii="Verdana" w:eastAsia="Verdana" w:hAnsi="Verdana" w:cs="Verdana"/>
                <w:sz w:val="20"/>
                <w:szCs w:val="20"/>
              </w:rPr>
            </w:pPr>
            <w:r>
              <w:rPr>
                <w:rFonts w:ascii="Verdana" w:eastAsia="Verdana" w:hAnsi="Verdana" w:cs="Verdana"/>
                <w:sz w:val="20"/>
                <w:szCs w:val="20"/>
              </w:rPr>
              <w:t>Requirement</w:t>
            </w:r>
          </w:p>
        </w:tc>
        <w:tc>
          <w:tcPr>
            <w:tcW w:w="736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59320A67" w14:textId="77777777" w:rsidR="004F0CB3" w:rsidRDefault="00AC1403">
            <w:pPr>
              <w:ind w:right="-450"/>
              <w:jc w:val="center"/>
              <w:rPr>
                <w:rFonts w:ascii="Verdana" w:eastAsia="Verdana" w:hAnsi="Verdana" w:cs="Verdana"/>
                <w:sz w:val="20"/>
                <w:szCs w:val="20"/>
              </w:rPr>
            </w:pPr>
            <w:r>
              <w:rPr>
                <w:rFonts w:ascii="Verdana" w:eastAsia="Verdana" w:hAnsi="Verdana" w:cs="Verdana"/>
                <w:sz w:val="20"/>
                <w:szCs w:val="20"/>
              </w:rPr>
              <w:t>Description</w:t>
            </w:r>
          </w:p>
        </w:tc>
      </w:tr>
      <w:tr w:rsidR="004F0CB3" w14:paraId="576A85FD" w14:textId="77777777">
        <w:trPr>
          <w:trHeight w:val="135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1A882A7E" w14:textId="77777777" w:rsidR="004F0CB3" w:rsidRDefault="00AC1403">
            <w:pPr>
              <w:ind w:right="-90"/>
              <w:rPr>
                <w:rFonts w:ascii="Verdana" w:eastAsia="Verdana" w:hAnsi="Verdana" w:cs="Verdana"/>
                <w:sz w:val="20"/>
                <w:szCs w:val="20"/>
              </w:rPr>
            </w:pPr>
            <w:r>
              <w:rPr>
                <w:rFonts w:ascii="Verdana" w:eastAsia="Verdana" w:hAnsi="Verdana" w:cs="Verdana"/>
                <w:sz w:val="20"/>
                <w:szCs w:val="20"/>
              </w:rPr>
              <w:t>1-General Qualifications</w:t>
            </w:r>
          </w:p>
        </w:tc>
        <w:tc>
          <w:tcPr>
            <w:tcW w:w="736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74D2D60C" w14:textId="77777777" w:rsidR="004F0CB3" w:rsidRDefault="00AC1403">
            <w:pPr>
              <w:ind w:right="-45"/>
              <w:rPr>
                <w:rFonts w:ascii="Verdana" w:eastAsia="Verdana" w:hAnsi="Verdana" w:cs="Verdana"/>
                <w:sz w:val="20"/>
                <w:szCs w:val="20"/>
              </w:rPr>
            </w:pPr>
            <w:r>
              <w:rPr>
                <w:rFonts w:ascii="Verdana" w:eastAsia="Verdana" w:hAnsi="Verdana" w:cs="Verdana"/>
                <w:sz w:val="20"/>
                <w:szCs w:val="20"/>
              </w:rPr>
              <w:t>Master’s degree (or equivalent) in Law. At least 5 years of legal experience, including working on procurement, construction law, and administrative law in Ukraine. Proven experience in drafting legal regulations, policies, and normative documents for public sector clients.</w:t>
            </w:r>
          </w:p>
        </w:tc>
      </w:tr>
      <w:tr w:rsidR="004F0CB3" w14:paraId="4F9027D3" w14:textId="77777777">
        <w:trPr>
          <w:trHeight w:val="135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2CA33006" w14:textId="77777777" w:rsidR="004F0CB3" w:rsidRDefault="00AC1403">
            <w:pPr>
              <w:ind w:right="-90"/>
              <w:rPr>
                <w:rFonts w:ascii="Verdana" w:eastAsia="Verdana" w:hAnsi="Verdana" w:cs="Verdana"/>
                <w:sz w:val="20"/>
                <w:szCs w:val="20"/>
              </w:rPr>
            </w:pPr>
            <w:r>
              <w:rPr>
                <w:rFonts w:ascii="Verdana" w:eastAsia="Verdana" w:hAnsi="Verdana" w:cs="Verdana"/>
                <w:sz w:val="20"/>
                <w:szCs w:val="20"/>
              </w:rPr>
              <w:lastRenderedPageBreak/>
              <w:t>2-Adequacy for the assignment</w:t>
            </w:r>
          </w:p>
        </w:tc>
        <w:tc>
          <w:tcPr>
            <w:tcW w:w="736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0B762C5A" w14:textId="77777777" w:rsidR="004F0CB3" w:rsidRDefault="00AC1403">
            <w:pPr>
              <w:ind w:right="-45"/>
              <w:rPr>
                <w:rFonts w:ascii="Verdana" w:eastAsia="Verdana" w:hAnsi="Verdana" w:cs="Verdana"/>
                <w:sz w:val="20"/>
                <w:szCs w:val="20"/>
              </w:rPr>
            </w:pPr>
            <w:r>
              <w:rPr>
                <w:rFonts w:ascii="Verdana" w:eastAsia="Verdana" w:hAnsi="Verdana" w:cs="Verdana"/>
                <w:sz w:val="20"/>
                <w:szCs w:val="20"/>
              </w:rPr>
              <w:t xml:space="preserve">Experience in handling legal support for municipal or public sector projects. Experience in ensuring regulatory compliance in construction, procurement, and municipal governance processes. Experience in supporting the legal </w:t>
            </w:r>
            <w:proofErr w:type="spellStart"/>
            <w:r>
              <w:rPr>
                <w:rFonts w:ascii="Verdana" w:eastAsia="Verdana" w:hAnsi="Verdana" w:cs="Verdana"/>
                <w:sz w:val="20"/>
                <w:szCs w:val="20"/>
              </w:rPr>
              <w:t>formalisation</w:t>
            </w:r>
            <w:proofErr w:type="spellEnd"/>
            <w:r>
              <w:rPr>
                <w:rFonts w:ascii="Verdana" w:eastAsia="Verdana" w:hAnsi="Verdana" w:cs="Verdana"/>
                <w:sz w:val="20"/>
                <w:szCs w:val="20"/>
              </w:rPr>
              <w:t xml:space="preserve"> of new procedures and regulations.</w:t>
            </w:r>
          </w:p>
        </w:tc>
      </w:tr>
      <w:tr w:rsidR="004F0CB3" w14:paraId="3F7A4CB3" w14:textId="77777777">
        <w:trPr>
          <w:trHeight w:val="1085"/>
        </w:trPr>
        <w:tc>
          <w:tcPr>
            <w:tcW w:w="268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6854AD28" w14:textId="77777777" w:rsidR="004F0CB3" w:rsidRDefault="00AC1403">
            <w:pPr>
              <w:ind w:right="-90"/>
              <w:rPr>
                <w:rFonts w:ascii="Verdana" w:eastAsia="Verdana" w:hAnsi="Verdana" w:cs="Verdana"/>
                <w:sz w:val="20"/>
                <w:szCs w:val="20"/>
              </w:rPr>
            </w:pPr>
            <w:r>
              <w:rPr>
                <w:rFonts w:ascii="Verdana" w:eastAsia="Verdana" w:hAnsi="Verdana" w:cs="Verdana"/>
                <w:sz w:val="20"/>
                <w:szCs w:val="20"/>
              </w:rPr>
              <w:t>3-Experience in the region and language</w:t>
            </w:r>
          </w:p>
        </w:tc>
        <w:tc>
          <w:tcPr>
            <w:tcW w:w="7365" w:type="dxa"/>
            <w:tcBorders>
              <w:top w:val="dotted" w:sz="4" w:space="0" w:color="000000"/>
              <w:left w:val="dotted" w:sz="4" w:space="0" w:color="000000"/>
              <w:bottom w:val="dotted" w:sz="4" w:space="0" w:color="000000"/>
              <w:right w:val="dotted" w:sz="4" w:space="0" w:color="000000"/>
            </w:tcBorders>
            <w:tcMar>
              <w:top w:w="100" w:type="dxa"/>
              <w:left w:w="100" w:type="dxa"/>
              <w:bottom w:w="100" w:type="dxa"/>
              <w:right w:w="100" w:type="dxa"/>
            </w:tcMar>
          </w:tcPr>
          <w:p w14:paraId="1383B9C4" w14:textId="77777777" w:rsidR="004F0CB3" w:rsidRDefault="00AC1403">
            <w:pPr>
              <w:ind w:right="-45"/>
              <w:rPr>
                <w:rFonts w:ascii="Verdana" w:eastAsia="Verdana" w:hAnsi="Verdana" w:cs="Verdana"/>
                <w:sz w:val="20"/>
                <w:szCs w:val="20"/>
              </w:rPr>
            </w:pPr>
            <w:r>
              <w:rPr>
                <w:rFonts w:ascii="Verdana" w:eastAsia="Verdana" w:hAnsi="Verdana" w:cs="Verdana"/>
                <w:sz w:val="20"/>
                <w:szCs w:val="20"/>
              </w:rPr>
              <w:t>Relevant working experience in Ukraine. Basic English language communication skills (verbal and written, A2-level), fluency in Ukrainian.</w:t>
            </w:r>
          </w:p>
        </w:tc>
      </w:tr>
    </w:tbl>
    <w:p w14:paraId="51DD4738" w14:textId="77777777" w:rsidR="004F0CB3" w:rsidRDefault="004F0CB3">
      <w:pPr>
        <w:pBdr>
          <w:top w:val="nil"/>
          <w:left w:val="nil"/>
          <w:bottom w:val="nil"/>
          <w:right w:val="nil"/>
          <w:between w:val="nil"/>
        </w:pBdr>
        <w:spacing w:after="0"/>
        <w:ind w:right="-450"/>
        <w:rPr>
          <w:rFonts w:ascii="Verdana" w:eastAsia="Verdana" w:hAnsi="Verdana" w:cs="Verdana"/>
          <w:color w:val="000000"/>
          <w:sz w:val="20"/>
          <w:szCs w:val="20"/>
        </w:rPr>
      </w:pPr>
    </w:p>
    <w:p w14:paraId="3102012B" w14:textId="77777777" w:rsidR="004F0CB3" w:rsidRDefault="00AC1403">
      <w:pPr>
        <w:numPr>
          <w:ilvl w:val="0"/>
          <w:numId w:val="5"/>
        </w:numPr>
        <w:pBdr>
          <w:top w:val="nil"/>
          <w:left w:val="nil"/>
          <w:bottom w:val="nil"/>
          <w:right w:val="nil"/>
          <w:between w:val="nil"/>
        </w:pBdr>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HOW TO APPLY</w:t>
      </w:r>
    </w:p>
    <w:p w14:paraId="34F38F96" w14:textId="77777777" w:rsidR="004F0CB3" w:rsidRDefault="00AC1403">
      <w:pPr>
        <w:spacing w:before="240" w:after="240"/>
        <w:ind w:left="-540"/>
        <w:jc w:val="both"/>
        <w:rPr>
          <w:rFonts w:ascii="Verdana" w:eastAsia="Verdana" w:hAnsi="Verdana" w:cs="Verdana"/>
          <w:sz w:val="20"/>
          <w:szCs w:val="20"/>
        </w:rPr>
      </w:pPr>
      <w:r>
        <w:rPr>
          <w:rFonts w:ascii="Verdana" w:eastAsia="Verdana" w:hAnsi="Verdana" w:cs="Verdana"/>
          <w:sz w:val="20"/>
          <w:szCs w:val="20"/>
        </w:rPr>
        <w:t>The bidder must submit the following information to be considered:</w:t>
      </w:r>
    </w:p>
    <w:p w14:paraId="4D2D7278" w14:textId="4862599C" w:rsidR="00285AF4" w:rsidRPr="00285AF4" w:rsidRDefault="00285AF4">
      <w:pPr>
        <w:numPr>
          <w:ilvl w:val="0"/>
          <w:numId w:val="8"/>
        </w:numPr>
        <w:spacing w:before="240" w:after="0"/>
        <w:rPr>
          <w:rFonts w:ascii="Verdana" w:eastAsia="Verdana" w:hAnsi="Verdana" w:cs="Verdana"/>
          <w:sz w:val="20"/>
          <w:szCs w:val="20"/>
        </w:rPr>
      </w:pPr>
      <w:r w:rsidRPr="00285AF4">
        <w:rPr>
          <w:rFonts w:ascii="Verdana" w:eastAsia="Verdana" w:hAnsi="Verdana" w:cs="Verdana"/>
          <w:b/>
          <w:bCs/>
          <w:sz w:val="20"/>
          <w:szCs w:val="20"/>
        </w:rPr>
        <w:t>Portfolio</w:t>
      </w:r>
      <w:r w:rsidRPr="00285AF4">
        <w:rPr>
          <w:rFonts w:ascii="Verdana" w:eastAsia="Verdana" w:hAnsi="Verdana" w:cs="Verdana"/>
          <w:sz w:val="20"/>
          <w:szCs w:val="20"/>
        </w:rPr>
        <w:t xml:space="preserve"> of relevant projects</w:t>
      </w:r>
    </w:p>
    <w:p w14:paraId="7ED83379" w14:textId="6FDB5A8B" w:rsidR="004F0CB3" w:rsidRDefault="00AC1403">
      <w:pPr>
        <w:numPr>
          <w:ilvl w:val="0"/>
          <w:numId w:val="8"/>
        </w:numPr>
        <w:spacing w:before="240" w:after="0"/>
        <w:rPr>
          <w:rFonts w:ascii="Verdana" w:eastAsia="Verdana" w:hAnsi="Verdana" w:cs="Verdana"/>
          <w:sz w:val="20"/>
          <w:szCs w:val="20"/>
        </w:rPr>
      </w:pPr>
      <w:r>
        <w:rPr>
          <w:rFonts w:ascii="Verdana" w:eastAsia="Verdana" w:hAnsi="Verdana" w:cs="Verdana"/>
          <w:b/>
          <w:sz w:val="20"/>
          <w:szCs w:val="20"/>
        </w:rPr>
        <w:t>CVs</w:t>
      </w:r>
      <w:r w:rsidR="00285AF4">
        <w:rPr>
          <w:rFonts w:ascii="Verdana" w:eastAsia="Verdana" w:hAnsi="Verdana" w:cs="Verdana"/>
          <w:b/>
          <w:sz w:val="20"/>
          <w:szCs w:val="20"/>
        </w:rPr>
        <w:t xml:space="preserve"> of core team</w:t>
      </w:r>
      <w:r>
        <w:rPr>
          <w:rFonts w:ascii="Verdana" w:eastAsia="Verdana" w:hAnsi="Verdana" w:cs="Verdana"/>
          <w:sz w:val="20"/>
          <w:szCs w:val="20"/>
        </w:rPr>
        <w:t xml:space="preserve"> (no more than three pages per expert) for the Technical Supervision Consultant and the Legal Expert, clearly demonstrating their relevant experience, qualifications, and competencies;</w:t>
      </w:r>
    </w:p>
    <w:p w14:paraId="473B9BD2" w14:textId="77777777" w:rsidR="004F0CB3" w:rsidRDefault="00AC1403">
      <w:pPr>
        <w:numPr>
          <w:ilvl w:val="0"/>
          <w:numId w:val="8"/>
        </w:numPr>
        <w:spacing w:after="240"/>
        <w:rPr>
          <w:rFonts w:ascii="Verdana" w:eastAsia="Verdana" w:hAnsi="Verdana" w:cs="Verdana"/>
          <w:sz w:val="20"/>
          <w:szCs w:val="20"/>
        </w:rPr>
      </w:pPr>
      <w:r>
        <w:rPr>
          <w:rFonts w:ascii="Verdana" w:eastAsia="Verdana" w:hAnsi="Verdana" w:cs="Verdana"/>
          <w:b/>
          <w:sz w:val="20"/>
          <w:szCs w:val="20"/>
        </w:rPr>
        <w:t>A budget</w:t>
      </w:r>
      <w:r>
        <w:rPr>
          <w:rFonts w:ascii="Verdana" w:eastAsia="Verdana" w:hAnsi="Verdana" w:cs="Verdana"/>
          <w:sz w:val="20"/>
          <w:szCs w:val="20"/>
        </w:rPr>
        <w:t xml:space="preserve"> for the services in EUR, inclusive of all taxes and charges, broken down by expert (daily rates, travel, per diem, accommodation, and other expenses).</w:t>
      </w:r>
    </w:p>
    <w:p w14:paraId="54D5B2A9" w14:textId="04450330" w:rsidR="004F0CB3" w:rsidRDefault="00AC1403">
      <w:pPr>
        <w:spacing w:after="0"/>
        <w:ind w:left="-540" w:right="-450"/>
        <w:jc w:val="both"/>
        <w:rPr>
          <w:rFonts w:ascii="Verdana" w:eastAsia="Verdana" w:hAnsi="Verdana" w:cs="Verdana"/>
          <w:b/>
          <w:sz w:val="20"/>
          <w:szCs w:val="20"/>
        </w:rPr>
      </w:pPr>
      <w:r>
        <w:rPr>
          <w:rFonts w:ascii="Verdana" w:eastAsia="Verdana" w:hAnsi="Verdana" w:cs="Verdana"/>
          <w:sz w:val="20"/>
          <w:szCs w:val="20"/>
        </w:rPr>
        <w:t xml:space="preserve">To apply, please send all the documents listed above to </w:t>
      </w:r>
      <w:hyperlink r:id="rId8">
        <w:r>
          <w:rPr>
            <w:rFonts w:ascii="Verdana" w:eastAsia="Verdana" w:hAnsi="Verdana" w:cs="Verdana"/>
            <w:color w:val="1155CC"/>
            <w:sz w:val="20"/>
            <w:szCs w:val="20"/>
            <w:u w:val="single"/>
          </w:rPr>
          <w:t>tarslu</w:t>
        </w:r>
      </w:hyperlink>
      <w:hyperlink r:id="rId9">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cc </w:t>
      </w:r>
      <w:hyperlink r:id="rId10">
        <w:r>
          <w:rPr>
            <w:rFonts w:ascii="Verdana" w:eastAsia="Verdana" w:hAnsi="Verdana" w:cs="Verdana"/>
            <w:color w:val="1155CC"/>
            <w:sz w:val="20"/>
            <w:szCs w:val="20"/>
            <w:highlight w:val="white"/>
            <w:u w:val="single"/>
          </w:rPr>
          <w:t>euaci@um.dk</w:t>
        </w:r>
      </w:hyperlink>
      <w:r>
        <w:rPr>
          <w:rFonts w:ascii="Verdana" w:eastAsia="Verdana" w:hAnsi="Verdana" w:cs="Verdana"/>
          <w:sz w:val="20"/>
          <w:szCs w:val="20"/>
        </w:rPr>
        <w:t xml:space="preserve"> indicating the subject line </w:t>
      </w:r>
      <w:r>
        <w:rPr>
          <w:rFonts w:ascii="Verdana" w:eastAsia="Verdana" w:hAnsi="Verdana" w:cs="Verdana"/>
          <w:b/>
          <w:sz w:val="20"/>
          <w:szCs w:val="20"/>
          <w:highlight w:val="white"/>
        </w:rPr>
        <w:t>"</w:t>
      </w:r>
      <w:r>
        <w:rPr>
          <w:rFonts w:ascii="Verdana" w:eastAsia="Verdana" w:hAnsi="Verdana" w:cs="Verdana"/>
          <w:b/>
          <w:sz w:val="20"/>
          <w:szCs w:val="20"/>
        </w:rPr>
        <w:t>Technical Supervision Consultancy Services</w:t>
      </w:r>
      <w:r w:rsidR="00285AF4">
        <w:rPr>
          <w:rFonts w:ascii="Verdana" w:eastAsia="Verdana" w:hAnsi="Verdana" w:cs="Verdana"/>
          <w:b/>
          <w:sz w:val="20"/>
          <w:szCs w:val="20"/>
          <w:lang w:val="uk-UA"/>
        </w:rPr>
        <w:t>_</w:t>
      </w:r>
      <w:r w:rsidR="00285AF4" w:rsidRPr="00285AF4">
        <w:rPr>
          <w:rFonts w:ascii="Verdana" w:eastAsia="Verdana" w:hAnsi="Verdana" w:cs="Verdana"/>
          <w:b/>
          <w:i/>
          <w:iCs/>
          <w:sz w:val="20"/>
          <w:szCs w:val="20"/>
          <w:lang w:val="en-GB"/>
        </w:rPr>
        <w:t>Name</w:t>
      </w:r>
      <w:r>
        <w:rPr>
          <w:rFonts w:ascii="Verdana" w:eastAsia="Verdana" w:hAnsi="Verdana" w:cs="Verdana"/>
          <w:b/>
          <w:sz w:val="20"/>
          <w:szCs w:val="20"/>
          <w:highlight w:val="white"/>
        </w:rPr>
        <w:t>"</w:t>
      </w:r>
      <w:r>
        <w:rPr>
          <w:rFonts w:ascii="Verdana" w:eastAsia="Verdana" w:hAnsi="Verdana" w:cs="Verdana"/>
          <w:b/>
          <w:sz w:val="20"/>
          <w:szCs w:val="20"/>
        </w:rPr>
        <w:t>.</w:t>
      </w:r>
    </w:p>
    <w:p w14:paraId="2533E266" w14:textId="77777777" w:rsidR="004F0CB3" w:rsidRDefault="00AC1403">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deadline for submitting the proposals is </w:t>
      </w:r>
      <w:r>
        <w:rPr>
          <w:rFonts w:ascii="Verdana" w:eastAsia="Verdana" w:hAnsi="Verdana" w:cs="Verdana"/>
          <w:b/>
          <w:sz w:val="20"/>
          <w:szCs w:val="20"/>
        </w:rPr>
        <w:t>28 March 2025</w:t>
      </w:r>
      <w:r>
        <w:rPr>
          <w:rFonts w:ascii="Verdana" w:eastAsia="Verdana" w:hAnsi="Verdana" w:cs="Verdana"/>
          <w:sz w:val="20"/>
          <w:szCs w:val="20"/>
        </w:rPr>
        <w:t xml:space="preserve">, </w:t>
      </w:r>
      <w:r>
        <w:rPr>
          <w:rFonts w:ascii="Verdana" w:eastAsia="Verdana" w:hAnsi="Verdana" w:cs="Verdana"/>
          <w:b/>
          <w:sz w:val="20"/>
          <w:szCs w:val="20"/>
        </w:rPr>
        <w:t>18:00</w:t>
      </w:r>
      <w:r>
        <w:rPr>
          <w:rFonts w:ascii="Verdana" w:eastAsia="Verdana" w:hAnsi="Verdana" w:cs="Verdana"/>
          <w:sz w:val="20"/>
          <w:szCs w:val="20"/>
        </w:rPr>
        <w:t xml:space="preserve"> Kyiv time. </w:t>
      </w:r>
    </w:p>
    <w:p w14:paraId="52813733" w14:textId="77777777" w:rsidR="004F0CB3" w:rsidRDefault="00AC1403">
      <w:pPr>
        <w:spacing w:before="120" w:after="240"/>
        <w:ind w:left="-540" w:right="-450"/>
        <w:jc w:val="both"/>
        <w:rPr>
          <w:rFonts w:ascii="Verdana" w:eastAsia="Verdana" w:hAnsi="Verdana" w:cs="Verdana"/>
          <w:sz w:val="20"/>
          <w:szCs w:val="20"/>
        </w:rPr>
      </w:pPr>
      <w:r>
        <w:rPr>
          <w:rFonts w:ascii="Verdana" w:eastAsia="Verdana" w:hAnsi="Verdana" w:cs="Verdana"/>
          <w:sz w:val="20"/>
          <w:szCs w:val="20"/>
        </w:rPr>
        <w:t>The proposals shall be submitted i</w:t>
      </w:r>
      <w:r>
        <w:rPr>
          <w:rFonts w:ascii="Verdana" w:eastAsia="Verdana" w:hAnsi="Verdana" w:cs="Verdana"/>
          <w:b/>
          <w:sz w:val="20"/>
          <w:szCs w:val="20"/>
        </w:rPr>
        <w:t>n English</w:t>
      </w:r>
      <w:r>
        <w:rPr>
          <w:rFonts w:ascii="Verdana" w:eastAsia="Verdana" w:hAnsi="Verdana" w:cs="Verdana"/>
          <w:sz w:val="20"/>
          <w:szCs w:val="20"/>
        </w:rPr>
        <w:t xml:space="preserve">. </w:t>
      </w:r>
    </w:p>
    <w:p w14:paraId="422F78B1" w14:textId="77777777" w:rsidR="004F0CB3" w:rsidRDefault="00AC1403">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11">
        <w:r>
          <w:rPr>
            <w:rFonts w:ascii="Verdana" w:eastAsia="Verdana" w:hAnsi="Verdana" w:cs="Verdana"/>
            <w:color w:val="1155CC"/>
            <w:sz w:val="20"/>
            <w:szCs w:val="20"/>
            <w:u w:val="single"/>
          </w:rPr>
          <w:t>tarslu</w:t>
        </w:r>
      </w:hyperlink>
      <w:hyperlink r:id="rId12">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no later than 21 March 2025, 18:00 Kyiv time.</w:t>
      </w:r>
    </w:p>
    <w:p w14:paraId="3235FDFC" w14:textId="77777777" w:rsidR="004F0CB3" w:rsidRDefault="00AC1403">
      <w:pPr>
        <w:numPr>
          <w:ilvl w:val="0"/>
          <w:numId w:val="5"/>
        </w:numPr>
        <w:pBdr>
          <w:top w:val="nil"/>
          <w:left w:val="nil"/>
          <w:bottom w:val="nil"/>
          <w:right w:val="nil"/>
          <w:between w:val="nil"/>
        </w:pBdr>
        <w:spacing w:before="120" w:after="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EVALUATION CRITERIA</w:t>
      </w:r>
    </w:p>
    <w:p w14:paraId="5C5D84A9" w14:textId="77777777" w:rsidR="004F0CB3" w:rsidRDefault="00AC1403">
      <w:pPr>
        <w:spacing w:before="120" w:after="240"/>
        <w:ind w:left="-540" w:right="-450"/>
        <w:rPr>
          <w:rFonts w:ascii="Verdana" w:eastAsia="Verdana" w:hAnsi="Verdana" w:cs="Verdana"/>
          <w:sz w:val="20"/>
          <w:szCs w:val="20"/>
        </w:rPr>
      </w:pPr>
      <w:r>
        <w:rPr>
          <w:rFonts w:ascii="Verdana" w:eastAsia="Verdana" w:hAnsi="Verdana" w:cs="Verdana"/>
          <w:sz w:val="20"/>
          <w:szCs w:val="20"/>
        </w:rPr>
        <w:t>Bids will be evaluated under the criteria provided below:</w:t>
      </w:r>
    </w:p>
    <w:tbl>
      <w:tblPr>
        <w:tblStyle w:val="a9"/>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4F0CB3" w14:paraId="572D8109"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AB7389D" w14:textId="77777777" w:rsidR="004F0CB3" w:rsidRDefault="00AC1403">
            <w:pPr>
              <w:spacing w:before="120" w:after="240"/>
              <w:ind w:left="90" w:right="-255"/>
              <w:jc w:val="right"/>
              <w:rPr>
                <w:rFonts w:ascii="Verdana" w:eastAsia="Verdana" w:hAnsi="Verdana" w:cs="Verdana"/>
                <w:b/>
                <w:sz w:val="20"/>
                <w:szCs w:val="20"/>
              </w:rPr>
            </w:pPr>
            <w:r>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3203A41F" w14:textId="77777777" w:rsidR="004F0CB3" w:rsidRDefault="00AC1403">
            <w:pPr>
              <w:spacing w:before="120" w:after="240"/>
              <w:ind w:left="90" w:right="210"/>
              <w:rPr>
                <w:rFonts w:ascii="Verdana" w:eastAsia="Verdana" w:hAnsi="Verdana" w:cs="Verdana"/>
                <w:b/>
                <w:sz w:val="20"/>
                <w:szCs w:val="20"/>
              </w:rPr>
            </w:pPr>
            <w:r>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50BBFEDF" w14:textId="77777777" w:rsidR="004F0CB3" w:rsidRDefault="00AC1403">
            <w:pPr>
              <w:spacing w:before="120" w:after="240"/>
              <w:ind w:left="-540" w:right="-450"/>
              <w:jc w:val="center"/>
              <w:rPr>
                <w:rFonts w:ascii="Verdana" w:eastAsia="Verdana" w:hAnsi="Verdana" w:cs="Verdana"/>
                <w:b/>
                <w:sz w:val="20"/>
                <w:szCs w:val="20"/>
              </w:rPr>
            </w:pPr>
            <w:r>
              <w:rPr>
                <w:rFonts w:ascii="Verdana" w:eastAsia="Verdana" w:hAnsi="Verdana" w:cs="Verdana"/>
                <w:b/>
                <w:sz w:val="20"/>
                <w:szCs w:val="20"/>
              </w:rPr>
              <w:t>Weight</w:t>
            </w:r>
          </w:p>
        </w:tc>
      </w:tr>
      <w:tr w:rsidR="004F0CB3" w14:paraId="73522B55"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07BC0FD0" w14:textId="77777777" w:rsidR="004F0CB3" w:rsidRDefault="00AC1403">
            <w:pPr>
              <w:spacing w:before="120" w:after="240"/>
              <w:ind w:left="-540" w:right="15"/>
              <w:jc w:val="right"/>
              <w:rPr>
                <w:rFonts w:ascii="Verdana" w:eastAsia="Verdana" w:hAnsi="Verdana" w:cs="Verdana"/>
                <w:sz w:val="20"/>
                <w:szCs w:val="20"/>
              </w:rPr>
            </w:pPr>
            <w:r>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4B7545C" w14:textId="77777777" w:rsidR="004F0CB3" w:rsidRDefault="00AC1403">
            <w:pPr>
              <w:spacing w:before="120" w:after="240"/>
              <w:ind w:left="90" w:right="210"/>
              <w:rPr>
                <w:rFonts w:ascii="Verdana" w:eastAsia="Verdana" w:hAnsi="Verdana" w:cs="Verdana"/>
                <w:sz w:val="20"/>
                <w:szCs w:val="20"/>
              </w:rPr>
            </w:pPr>
            <w:r>
              <w:rPr>
                <w:rFonts w:ascii="Verdana" w:eastAsia="Verdana" w:hAnsi="Verdana" w:cs="Verdana"/>
                <w:sz w:val="20"/>
                <w:szCs w:val="20"/>
              </w:rPr>
              <w:t xml:space="preserve">CVs (relevant experience, skills and competencies) </w:t>
            </w:r>
          </w:p>
        </w:tc>
        <w:tc>
          <w:tcPr>
            <w:tcW w:w="2460" w:type="dxa"/>
            <w:tcBorders>
              <w:top w:val="nil"/>
              <w:left w:val="nil"/>
              <w:bottom w:val="dotted" w:sz="4" w:space="0" w:color="000000"/>
              <w:right w:val="nil"/>
            </w:tcBorders>
            <w:tcMar>
              <w:top w:w="0" w:type="dxa"/>
              <w:left w:w="100" w:type="dxa"/>
              <w:bottom w:w="0" w:type="dxa"/>
              <w:right w:w="100" w:type="dxa"/>
            </w:tcMar>
          </w:tcPr>
          <w:p w14:paraId="182C374C" w14:textId="77777777" w:rsidR="004F0CB3" w:rsidRDefault="00AC1403">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80%</w:t>
            </w:r>
          </w:p>
        </w:tc>
      </w:tr>
      <w:tr w:rsidR="004F0CB3" w14:paraId="515DD9E6" w14:textId="77777777">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2555C15" w14:textId="77777777" w:rsidR="004F0CB3" w:rsidRDefault="00AC1403">
            <w:pPr>
              <w:spacing w:before="120" w:after="240"/>
              <w:ind w:left="-540" w:right="15"/>
              <w:jc w:val="right"/>
              <w:rPr>
                <w:rFonts w:ascii="Verdana" w:eastAsia="Verdana" w:hAnsi="Verdana" w:cs="Verdana"/>
                <w:sz w:val="20"/>
                <w:szCs w:val="20"/>
              </w:rPr>
            </w:pPr>
            <w:r>
              <w:rPr>
                <w:rFonts w:ascii="Verdana" w:eastAsia="Verdana" w:hAnsi="Verdana" w:cs="Verdana"/>
                <w:sz w:val="20"/>
                <w:szCs w:val="20"/>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0FBA6361" w14:textId="77777777" w:rsidR="004F0CB3" w:rsidRDefault="00AC1403">
            <w:pPr>
              <w:spacing w:before="120" w:after="240"/>
              <w:ind w:left="90" w:right="210"/>
              <w:rPr>
                <w:rFonts w:ascii="Verdana" w:eastAsia="Verdana" w:hAnsi="Verdana" w:cs="Verdana"/>
                <w:sz w:val="20"/>
                <w:szCs w:val="20"/>
              </w:rPr>
            </w:pPr>
            <w:r>
              <w:rPr>
                <w:rFonts w:ascii="Verdana" w:eastAsia="Verdana" w:hAnsi="Verdana" w:cs="Verdana"/>
                <w:sz w:val="20"/>
                <w:szCs w:val="20"/>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7C833A3B" w14:textId="77777777" w:rsidR="004F0CB3" w:rsidRDefault="00AC1403">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20%</w:t>
            </w:r>
          </w:p>
        </w:tc>
      </w:tr>
    </w:tbl>
    <w:p w14:paraId="187D3F1F" w14:textId="77777777" w:rsidR="004F0CB3" w:rsidRDefault="004F0CB3">
      <w:pPr>
        <w:ind w:left="-540" w:right="-450"/>
        <w:jc w:val="both"/>
        <w:rPr>
          <w:rFonts w:ascii="Verdana" w:eastAsia="Verdana" w:hAnsi="Verdana" w:cs="Verdana"/>
          <w:sz w:val="20"/>
          <w:szCs w:val="20"/>
        </w:rPr>
      </w:pPr>
    </w:p>
    <w:sectPr w:rsidR="004F0CB3">
      <w:headerReference w:type="default" r:id="rId13"/>
      <w:footerReference w:type="default" r:id="rId14"/>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5EE0" w14:textId="77777777" w:rsidR="00AC1403" w:rsidRDefault="00AC1403">
      <w:pPr>
        <w:spacing w:after="0" w:line="240" w:lineRule="auto"/>
      </w:pPr>
      <w:r>
        <w:separator/>
      </w:r>
    </w:p>
  </w:endnote>
  <w:endnote w:type="continuationSeparator" w:id="0">
    <w:p w14:paraId="157238FA" w14:textId="77777777" w:rsidR="00AC1403" w:rsidRDefault="00AC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0E63" w14:textId="77777777" w:rsidR="004F0CB3" w:rsidRDefault="00AC1403">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14BA98B4" wp14:editId="5580DD4C">
          <wp:simplePos x="0" y="0"/>
          <wp:positionH relativeFrom="column">
            <wp:posOffset>60960</wp:posOffset>
          </wp:positionH>
          <wp:positionV relativeFrom="paragraph">
            <wp:posOffset>-998214</wp:posOffset>
          </wp:positionV>
          <wp:extent cx="2689860" cy="965534"/>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32" t="19369" b="12265"/>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1D38" w14:textId="77777777" w:rsidR="00AC1403" w:rsidRDefault="00AC1403">
      <w:pPr>
        <w:spacing w:after="0" w:line="240" w:lineRule="auto"/>
      </w:pPr>
      <w:r>
        <w:separator/>
      </w:r>
    </w:p>
  </w:footnote>
  <w:footnote w:type="continuationSeparator" w:id="0">
    <w:p w14:paraId="478EE471" w14:textId="77777777" w:rsidR="00AC1403" w:rsidRDefault="00AC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192D" w14:textId="77777777" w:rsidR="004F0CB3" w:rsidRDefault="004F0CB3">
    <w:pPr>
      <w:pBdr>
        <w:top w:val="nil"/>
        <w:left w:val="nil"/>
        <w:bottom w:val="nil"/>
        <w:right w:val="nil"/>
        <w:between w:val="nil"/>
      </w:pBdr>
      <w:tabs>
        <w:tab w:val="center" w:pos="4677"/>
        <w:tab w:val="right" w:pos="9355"/>
      </w:tabs>
      <w:spacing w:after="0" w:line="240" w:lineRule="auto"/>
      <w:rPr>
        <w:color w:val="000000"/>
      </w:rPr>
    </w:pPr>
  </w:p>
  <w:p w14:paraId="7903A1B8" w14:textId="77777777" w:rsidR="004F0CB3" w:rsidRDefault="00AC1403">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2B0FF1AC" wp14:editId="1DB71C04">
          <wp:extent cx="5758207" cy="831317"/>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1B600FE6" w14:textId="77777777" w:rsidR="004F0CB3" w:rsidRDefault="004F0CB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93A"/>
    <w:multiLevelType w:val="multilevel"/>
    <w:tmpl w:val="EBDA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B3141"/>
    <w:multiLevelType w:val="multilevel"/>
    <w:tmpl w:val="939C2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C23BC"/>
    <w:multiLevelType w:val="multilevel"/>
    <w:tmpl w:val="2A6A9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BD380B"/>
    <w:multiLevelType w:val="multilevel"/>
    <w:tmpl w:val="81228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EB1D37"/>
    <w:multiLevelType w:val="multilevel"/>
    <w:tmpl w:val="E69C841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52457"/>
    <w:multiLevelType w:val="multilevel"/>
    <w:tmpl w:val="8DEAE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5DC18C7"/>
    <w:multiLevelType w:val="multilevel"/>
    <w:tmpl w:val="83361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271A56"/>
    <w:multiLevelType w:val="multilevel"/>
    <w:tmpl w:val="37A05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44E5F74"/>
    <w:multiLevelType w:val="multilevel"/>
    <w:tmpl w:val="8612D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B3"/>
    <w:rsid w:val="00285AF4"/>
    <w:rsid w:val="004F0CB3"/>
    <w:rsid w:val="00663D85"/>
    <w:rsid w:val="0076399F"/>
    <w:rsid w:val="007911F5"/>
    <w:rsid w:val="00AC1403"/>
    <w:rsid w:val="00B6082F"/>
    <w:rsid w:val="00E30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5E39"/>
  <w15:docId w15:val="{0926B2D3-C93C-43A0-A369-D2F76FB0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paragraph" w:styleId="Sidehoved">
    <w:name w:val="header"/>
    <w:basedOn w:val="Normal"/>
    <w:link w:val="SidehovedTegn"/>
    <w:uiPriority w:val="99"/>
    <w:unhideWhenUsed/>
    <w:rsid w:val="00194286"/>
    <w:pPr>
      <w:tabs>
        <w:tab w:val="center" w:pos="4677"/>
        <w:tab w:val="right" w:pos="9355"/>
      </w:tabs>
      <w:spacing w:after="0" w:line="240" w:lineRule="auto"/>
    </w:pPr>
  </w:style>
  <w:style w:type="character" w:customStyle="1" w:styleId="SidehovedTegn">
    <w:name w:val="Sidehoved Tegn"/>
    <w:basedOn w:val="Standardskrifttypeiafsnit"/>
    <w:link w:val="Sidehoved"/>
    <w:uiPriority w:val="99"/>
    <w:rsid w:val="00194286"/>
  </w:style>
  <w:style w:type="paragraph" w:styleId="Sidefod">
    <w:name w:val="footer"/>
    <w:basedOn w:val="Normal"/>
    <w:link w:val="SidefodTegn"/>
    <w:uiPriority w:val="99"/>
    <w:unhideWhenUsed/>
    <w:rsid w:val="00194286"/>
    <w:pPr>
      <w:tabs>
        <w:tab w:val="center" w:pos="4677"/>
        <w:tab w:val="right" w:pos="9355"/>
      </w:tabs>
      <w:spacing w:after="0" w:line="240" w:lineRule="auto"/>
    </w:pPr>
  </w:style>
  <w:style w:type="character" w:customStyle="1" w:styleId="SidefodTegn">
    <w:name w:val="Sidefod Tegn"/>
    <w:basedOn w:val="Standardskrifttypeiafsnit"/>
    <w:link w:val="Sidefod"/>
    <w:uiPriority w:val="99"/>
    <w:rsid w:val="00194286"/>
  </w:style>
  <w:style w:type="paragraph" w:styleId="Markeringsbobletekst">
    <w:name w:val="Balloon Text"/>
    <w:basedOn w:val="Normal"/>
    <w:link w:val="MarkeringsbobletekstTegn"/>
    <w:uiPriority w:val="99"/>
    <w:semiHidden/>
    <w:unhideWhenUsed/>
    <w:rsid w:val="0019428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4286"/>
    <w:rPr>
      <w:rFonts w:ascii="Tahoma" w:hAnsi="Tahoma" w:cs="Tahoma"/>
      <w:sz w:val="16"/>
      <w:szCs w:val="16"/>
    </w:rPr>
  </w:style>
  <w:style w:type="table" w:styleId="Tabel-Gitter">
    <w:name w:val="Table Grid"/>
    <w:basedOn w:val="Tabel-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Kommentarhenvisning">
    <w:name w:val="annotation reference"/>
    <w:basedOn w:val="Standardskrifttypeiafsnit"/>
    <w:uiPriority w:val="99"/>
    <w:semiHidden/>
    <w:unhideWhenUsed/>
    <w:rsid w:val="00197A8A"/>
    <w:rPr>
      <w:sz w:val="16"/>
      <w:szCs w:val="16"/>
    </w:rPr>
  </w:style>
  <w:style w:type="paragraph" w:styleId="Kommentartekst">
    <w:name w:val="annotation text"/>
    <w:basedOn w:val="Normal"/>
    <w:link w:val="KommentartekstTegn"/>
    <w:uiPriority w:val="99"/>
    <w:semiHidden/>
    <w:unhideWhenUsed/>
    <w:rsid w:val="00197A8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97A8A"/>
    <w:rPr>
      <w:sz w:val="20"/>
      <w:szCs w:val="20"/>
    </w:rPr>
  </w:style>
  <w:style w:type="paragraph" w:styleId="Kommentaremne">
    <w:name w:val="annotation subject"/>
    <w:basedOn w:val="Kommentartekst"/>
    <w:next w:val="Kommentartekst"/>
    <w:link w:val="KommentaremneTegn"/>
    <w:uiPriority w:val="99"/>
    <w:semiHidden/>
    <w:unhideWhenUsed/>
    <w:rsid w:val="00197A8A"/>
    <w:rPr>
      <w:b/>
      <w:bCs/>
    </w:rPr>
  </w:style>
  <w:style w:type="character" w:customStyle="1" w:styleId="KommentaremneTegn">
    <w:name w:val="Kommentaremne Tegn"/>
    <w:basedOn w:val="KommentartekstTegn"/>
    <w:link w:val="Kommentaremne"/>
    <w:uiPriority w:val="99"/>
    <w:semiHidden/>
    <w:rsid w:val="00197A8A"/>
    <w:rPr>
      <w:b/>
      <w:bCs/>
      <w:sz w:val="20"/>
      <w:szCs w:val="20"/>
    </w:rPr>
  </w:style>
  <w:style w:type="character" w:styleId="Hyperlink">
    <w:name w:val="Hyperlink"/>
    <w:basedOn w:val="Standardskrifttypeiafsnit"/>
    <w:uiPriority w:val="99"/>
    <w:unhideWhenUsed/>
    <w:rsid w:val="002D0457"/>
    <w:rPr>
      <w:color w:val="0000FF" w:themeColor="hyperlink"/>
      <w:u w:val="single"/>
    </w:rPr>
  </w:style>
  <w:style w:type="character" w:customStyle="1" w:styleId="10">
    <w:name w:val="Незакрита згадка1"/>
    <w:basedOn w:val="Standardskrifttypeiafsnit"/>
    <w:uiPriority w:val="99"/>
    <w:semiHidden/>
    <w:unhideWhenUsed/>
    <w:rsid w:val="002D0457"/>
    <w:rPr>
      <w:color w:val="605E5C"/>
      <w:shd w:val="clear" w:color="auto" w:fill="E1DFDD"/>
    </w:rPr>
  </w:style>
  <w:style w:type="paragraph" w:styleId="Korrektur">
    <w:name w:val="Revision"/>
    <w:hidden/>
    <w:uiPriority w:val="99"/>
    <w:semiHidden/>
    <w:rsid w:val="00C82AFA"/>
    <w:pPr>
      <w:spacing w:after="0" w:line="240" w:lineRule="auto"/>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el-Normal"/>
    <w:tblPr>
      <w:tblStyleRowBandSize w:val="1"/>
      <w:tblStyleColBandSize w:val="1"/>
      <w:tblCellMar>
        <w:top w:w="15" w:type="dxa"/>
        <w:left w:w="15" w:type="dxa"/>
        <w:bottom w:w="15" w:type="dxa"/>
        <w:right w:w="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pPr>
      <w:spacing w:after="0" w:line="240" w:lineRule="auto"/>
    </w:pPr>
    <w:tblPr>
      <w:tblStyleRowBandSize w:val="1"/>
      <w:tblStyleColBandSize w:val="1"/>
      <w:tblCellMar>
        <w:left w:w="115" w:type="dxa"/>
        <w:right w:w="115" w:type="dxa"/>
      </w:tblCellMar>
    </w:tblPr>
  </w:style>
  <w:style w:type="table" w:customStyle="1" w:styleId="a3">
    <w:basedOn w:val="Tabel-Normal"/>
    <w:pPr>
      <w:spacing w:after="0" w:line="240" w:lineRule="auto"/>
    </w:pPr>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top w:w="100" w:type="dxa"/>
        <w:left w:w="100" w:type="dxa"/>
        <w:bottom w:w="100" w:type="dxa"/>
        <w:right w:w="100" w:type="dxa"/>
      </w:tblCellMar>
    </w:tblPr>
  </w:style>
  <w:style w:type="table" w:customStyle="1" w:styleId="a5">
    <w:basedOn w:val="Tabel-Normal"/>
    <w:pPr>
      <w:spacing w:after="0" w:line="240" w:lineRule="auto"/>
    </w:pPr>
    <w:tblPr>
      <w:tblStyleRowBandSize w:val="1"/>
      <w:tblStyleColBandSize w:val="1"/>
      <w:tblCellMar>
        <w:left w:w="115" w:type="dxa"/>
        <w:right w:w="115" w:type="dxa"/>
      </w:tblCellMar>
    </w:tblPr>
  </w:style>
  <w:style w:type="table" w:customStyle="1" w:styleId="a6">
    <w:basedOn w:val="Tabel-Normal"/>
    <w:tblPr>
      <w:tblStyleRowBandSize w:val="1"/>
      <w:tblStyleColBandSize w:val="1"/>
      <w:tblCellMar>
        <w:top w:w="100" w:type="dxa"/>
        <w:left w:w="100" w:type="dxa"/>
        <w:bottom w:w="100" w:type="dxa"/>
        <w:right w:w="100" w:type="dxa"/>
      </w:tblCellMar>
    </w:tblPr>
  </w:style>
  <w:style w:type="table" w:customStyle="1" w:styleId="a7">
    <w:basedOn w:val="Tabel-Normal"/>
    <w:tblPr>
      <w:tblStyleRowBandSize w:val="1"/>
      <w:tblStyleColBandSize w:val="1"/>
      <w:tblCellMar>
        <w:top w:w="100" w:type="dxa"/>
        <w:left w:w="100" w:type="dxa"/>
        <w:bottom w:w="100" w:type="dxa"/>
        <w:right w:w="100" w:type="dxa"/>
      </w:tblCellMar>
    </w:tblPr>
  </w:style>
  <w:style w:type="table" w:customStyle="1" w:styleId="a8">
    <w:basedOn w:val="Tabel-Normal"/>
    <w:tblPr>
      <w:tblStyleRowBandSize w:val="1"/>
      <w:tblStyleColBandSize w:val="1"/>
      <w:tblCellMar>
        <w:top w:w="100" w:type="dxa"/>
        <w:left w:w="100" w:type="dxa"/>
        <w:bottom w:w="100" w:type="dxa"/>
        <w:right w:w="100" w:type="dxa"/>
      </w:tblCellMar>
    </w:tblPr>
  </w:style>
  <w:style w:type="table" w:customStyle="1" w:styleId="a9">
    <w:basedOn w:val="Tabel-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rslu@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lu@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tarslu@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AwaKere7XdcZeF9UQTUSx/4ug==">CgMxLjAaHwoBMBIaChgICVIUChJ0YWJsZS5mdTM2OG8xcm92Z2kyCGguZ2pkZ3hzMg5oLm85bGV2azl6ODA2ZTIOaC53enliZmxyZDhpNTcyDmguM3B1aTNvcnRidmlsMg5oLmMzenZoMDNwYncxNTIOaC44ZHgxbHZqdHk0dWE4AHIhMWNWTHlnSDhPaHg5bVYtN0V5TGhMSFNFTkFfNVZ1MEM5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49</ap:TotalTime>
  <ap:Pages>6</ap:Pages>
  <ap:Words>1875</ap:Words>
  <ap:Characters>10688</ap:Characters>
  <ap:Application>Microsoft Office Word</ap:Application>
  <ap:DocSecurity>0</ap:DocSecurity>
  <ap:Lines>89</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12538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Allan Pagh Kristensen</cp:lastModifiedBy>
  <cp:revision>4</cp:revision>
  <dcterms:created xsi:type="dcterms:W3CDTF">2024-05-30T11:52:00Z</dcterms:created>
  <dcterms:modified xsi:type="dcterms:W3CDTF">2025-03-12T15:24:00Z</dcterms:modified>
</cp:coreProperties>
</file>