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903B" w14:textId="77777777" w:rsidR="00AB108E" w:rsidRDefault="00AB108E">
      <w:pPr>
        <w:spacing w:line="312" w:lineRule="auto"/>
        <w:jc w:val="center"/>
        <w:rPr>
          <w:rFonts w:ascii="Verdana" w:eastAsia="Verdana" w:hAnsi="Verdana" w:cs="Verdana"/>
          <w:b/>
          <w:color w:val="000000"/>
          <w:sz w:val="16"/>
          <w:szCs w:val="16"/>
        </w:rPr>
      </w:pPr>
    </w:p>
    <w:p w14:paraId="003306AC" w14:textId="77777777" w:rsidR="00AB108E" w:rsidRDefault="00DB1BF9" w:rsidP="00567ABA">
      <w:pPr>
        <w:spacing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TERMS OF REFERENCE</w:t>
      </w:r>
    </w:p>
    <w:p w14:paraId="13F1C817" w14:textId="6F837C88" w:rsidR="004B0399" w:rsidRDefault="00DB1BF9" w:rsidP="00567ABA">
      <w:pPr>
        <w:spacing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for </w:t>
      </w:r>
      <w:r w:rsidR="00567ABA">
        <w:rPr>
          <w:rFonts w:ascii="Verdana" w:eastAsia="Verdana" w:hAnsi="Verdana" w:cs="Verdana"/>
          <w:b/>
          <w:color w:val="000000"/>
          <w:sz w:val="20"/>
          <w:szCs w:val="20"/>
        </w:rPr>
        <w:t>a</w:t>
      </w:r>
      <w:r w:rsidR="004B0399">
        <w:rPr>
          <w:rFonts w:ascii="Verdana" w:eastAsia="Verdana" w:hAnsi="Verdana" w:cs="Verdana"/>
          <w:b/>
          <w:color w:val="000000"/>
          <w:sz w:val="20"/>
          <w:szCs w:val="20"/>
        </w:rPr>
        <w:t xml:space="preserve"> group of </w:t>
      </w:r>
      <w:r>
        <w:rPr>
          <w:rFonts w:ascii="Verdana" w:eastAsia="Verdana" w:hAnsi="Verdana" w:cs="Verdana"/>
          <w:b/>
          <w:color w:val="000000"/>
          <w:sz w:val="20"/>
          <w:szCs w:val="20"/>
        </w:rPr>
        <w:t xml:space="preserve">sectoral experts </w:t>
      </w:r>
      <w:r w:rsidR="00DD39A5">
        <w:rPr>
          <w:rFonts w:ascii="Verdana" w:eastAsia="Verdana" w:hAnsi="Verdana" w:cs="Verdana"/>
          <w:b/>
          <w:color w:val="000000"/>
          <w:sz w:val="20"/>
          <w:szCs w:val="20"/>
        </w:rPr>
        <w:t>i</w:t>
      </w:r>
      <w:r>
        <w:rPr>
          <w:rFonts w:ascii="Verdana" w:eastAsia="Verdana" w:hAnsi="Verdana" w:cs="Verdana"/>
          <w:b/>
          <w:color w:val="000000"/>
          <w:sz w:val="20"/>
          <w:szCs w:val="20"/>
        </w:rPr>
        <w:t xml:space="preserve">n </w:t>
      </w:r>
      <w:r w:rsidR="003F6587">
        <w:rPr>
          <w:rFonts w:ascii="Verdana" w:eastAsia="Verdana" w:hAnsi="Verdana" w:cs="Verdana"/>
          <w:b/>
          <w:color w:val="000000"/>
          <w:sz w:val="20"/>
          <w:szCs w:val="20"/>
        </w:rPr>
        <w:t xml:space="preserve">the sphere of taxation </w:t>
      </w:r>
      <w:r>
        <w:rPr>
          <w:rFonts w:ascii="Verdana" w:eastAsia="Verdana" w:hAnsi="Verdana" w:cs="Verdana"/>
          <w:b/>
          <w:color w:val="000000"/>
          <w:sz w:val="20"/>
          <w:szCs w:val="20"/>
        </w:rPr>
        <w:t xml:space="preserve">to support </w:t>
      </w:r>
    </w:p>
    <w:p w14:paraId="36345F7E" w14:textId="12403819" w:rsidR="004B0399" w:rsidRDefault="00DB1BF9" w:rsidP="00567ABA">
      <w:pPr>
        <w:spacing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the development of Ukraine's Anti-Corruption Strategy and Program </w:t>
      </w:r>
    </w:p>
    <w:p w14:paraId="09B11833" w14:textId="5264D7BE" w:rsidR="00567ABA" w:rsidRDefault="00DB1BF9" w:rsidP="000F1095">
      <w:pPr>
        <w:spacing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for the period of 2026-2030 </w:t>
      </w:r>
    </w:p>
    <w:p w14:paraId="4EF86429" w14:textId="29F86E3A" w:rsidR="000F1095" w:rsidRDefault="000F1095" w:rsidP="00567ABA">
      <w:pPr>
        <w:spacing w:line="360" w:lineRule="auto"/>
        <w:jc w:val="both"/>
        <w:rPr>
          <w:rFonts w:ascii="Verdana" w:eastAsia="Verdana" w:hAnsi="Verdana" w:cs="Verdana"/>
          <w:b/>
          <w:color w:val="000000"/>
          <w:sz w:val="20"/>
          <w:szCs w:val="20"/>
        </w:rPr>
      </w:pPr>
    </w:p>
    <w:p w14:paraId="3AA979F1" w14:textId="12B7E859" w:rsidR="000F1095" w:rsidRDefault="000F1095" w:rsidP="00567ABA">
      <w:pPr>
        <w:spacing w:line="360" w:lineRule="auto"/>
        <w:jc w:val="both"/>
        <w:rPr>
          <w:rFonts w:ascii="Verdana" w:eastAsia="Verdana" w:hAnsi="Verdana" w:cs="Verdana"/>
          <w:b/>
          <w:color w:val="000000"/>
          <w:sz w:val="20"/>
          <w:szCs w:val="20"/>
        </w:rPr>
      </w:pPr>
    </w:p>
    <w:p w14:paraId="345950FC" w14:textId="77777777" w:rsidR="000F1095" w:rsidRDefault="000F1095" w:rsidP="00567ABA">
      <w:pPr>
        <w:spacing w:line="360" w:lineRule="auto"/>
        <w:jc w:val="both"/>
        <w:rPr>
          <w:rFonts w:ascii="Verdana" w:eastAsia="Verdana" w:hAnsi="Verdana" w:cs="Verdana"/>
          <w:b/>
          <w:color w:val="000000"/>
          <w:sz w:val="20"/>
          <w:szCs w:val="20"/>
        </w:rPr>
      </w:pPr>
    </w:p>
    <w:p w14:paraId="36A9C728" w14:textId="750B563D" w:rsidR="00AB108E" w:rsidRDefault="00DB1BF9" w:rsidP="00567ABA">
      <w:pPr>
        <w:spacing w:line="360" w:lineRule="auto"/>
        <w:jc w:val="both"/>
        <w:rPr>
          <w:rFonts w:ascii="Verdana" w:eastAsia="Verdana" w:hAnsi="Verdana" w:cs="Verdana"/>
          <w:color w:val="000000"/>
          <w:sz w:val="20"/>
          <w:szCs w:val="20"/>
        </w:rPr>
      </w:pPr>
      <w:r>
        <w:rPr>
          <w:rFonts w:ascii="Verdana" w:eastAsia="Verdana" w:hAnsi="Verdana" w:cs="Verdana"/>
          <w:b/>
          <w:color w:val="000000"/>
          <w:sz w:val="20"/>
          <w:szCs w:val="20"/>
        </w:rPr>
        <w:t>Background and context:</w:t>
      </w:r>
    </w:p>
    <w:p w14:paraId="7CD89BFB" w14:textId="424227E1" w:rsidR="0099574A" w:rsidRDefault="00DB1BF9" w:rsidP="00567ABA">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EU Anti-Corruption Initiative (EUACI) is the flagship EU program in Ukraine funded by the EU, co-funded and implemented by the Ministry of Foreign Affairs of Denmark. The EUACI’s strategic objectives are: corruption in Ukraine is reduced; Ukraine advances with anti-corruption reform; and the reconstruction in war-affected areas of Ukraine is implemented within a framework that incorporates transparency, accountability, and integrity. Among its activities, the EUACI is providing support to Ukrainian partners in the field of EU integration and accession. </w:t>
      </w:r>
    </w:p>
    <w:p w14:paraId="77D47559" w14:textId="4064FA06" w:rsidR="00AB108E" w:rsidRDefault="00DB1BF9" w:rsidP="00567ABA">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According to Articles of 18 and 18</w:t>
      </w:r>
      <w:r>
        <w:rPr>
          <w:rFonts w:ascii="Verdana" w:eastAsia="Verdana" w:hAnsi="Verdana" w:cs="Verdana"/>
          <w:color w:val="000000"/>
          <w:sz w:val="20"/>
          <w:szCs w:val="20"/>
          <w:vertAlign w:val="superscript"/>
        </w:rPr>
        <w:t xml:space="preserve">1 </w:t>
      </w:r>
      <w:r>
        <w:rPr>
          <w:rFonts w:ascii="Verdana" w:eastAsia="Verdana" w:hAnsi="Verdana" w:cs="Verdana"/>
          <w:color w:val="000000"/>
          <w:sz w:val="20"/>
          <w:szCs w:val="20"/>
        </w:rPr>
        <w:t>of Law of Ukraine “On Corruption prevention”, the National Agency on Corruption Prevention (NACP, Agency) is responsible for the following:</w:t>
      </w:r>
    </w:p>
    <w:p w14:paraId="2CA6C122" w14:textId="367EABFD" w:rsidR="00AB108E" w:rsidRDefault="00DB1BF9" w:rsidP="00567ABA">
      <w:pPr>
        <w:numPr>
          <w:ilvl w:val="0"/>
          <w:numId w:val="4"/>
        </w:num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Development of the new Anti-corruption Strategy (Strategy)</w:t>
      </w:r>
      <w:r w:rsidR="00625506">
        <w:rPr>
          <w:rFonts w:ascii="Verdana" w:eastAsia="Verdana" w:hAnsi="Verdana" w:cs="Verdana"/>
          <w:color w:val="000000"/>
          <w:sz w:val="20"/>
          <w:szCs w:val="20"/>
        </w:rPr>
        <w:t>;</w:t>
      </w:r>
      <w:r>
        <w:rPr>
          <w:rFonts w:ascii="Verdana" w:eastAsia="Verdana" w:hAnsi="Verdana" w:cs="Verdana"/>
          <w:color w:val="000000"/>
          <w:sz w:val="20"/>
          <w:szCs w:val="20"/>
        </w:rPr>
        <w:t xml:space="preserve"> </w:t>
      </w:r>
    </w:p>
    <w:p w14:paraId="144BFB1D" w14:textId="21EE5819" w:rsidR="00AB108E" w:rsidRDefault="00DB1BF9" w:rsidP="00567ABA">
      <w:pPr>
        <w:numPr>
          <w:ilvl w:val="0"/>
          <w:numId w:val="4"/>
        </w:num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Development of State Anti-corruption Program (SACP</w:t>
      </w:r>
      <w:r w:rsidR="00625506">
        <w:rPr>
          <w:rFonts w:ascii="Verdana" w:eastAsia="Verdana" w:hAnsi="Verdana" w:cs="Verdana"/>
          <w:color w:val="000000"/>
          <w:sz w:val="20"/>
          <w:szCs w:val="20"/>
        </w:rPr>
        <w:t>).</w:t>
      </w:r>
    </w:p>
    <w:p w14:paraId="41ED3F22" w14:textId="1F4463E3" w:rsidR="00AB108E" w:rsidRDefault="0099574A" w:rsidP="00567ABA">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T</w:t>
      </w:r>
      <w:r w:rsidR="00DB1BF9">
        <w:rPr>
          <w:rFonts w:ascii="Verdana" w:eastAsia="Verdana" w:hAnsi="Verdana" w:cs="Verdana"/>
          <w:color w:val="000000"/>
          <w:sz w:val="20"/>
          <w:szCs w:val="20"/>
        </w:rPr>
        <w:t xml:space="preserve">he NACP has already started the development of new Strategy and SACP for the period </w:t>
      </w:r>
      <w:r w:rsidR="00FF291A">
        <w:rPr>
          <w:rFonts w:ascii="Verdana" w:eastAsia="Verdana" w:hAnsi="Verdana" w:cs="Verdana"/>
          <w:color w:val="000000"/>
          <w:sz w:val="20"/>
          <w:szCs w:val="20"/>
        </w:rPr>
        <w:t xml:space="preserve">                       </w:t>
      </w:r>
      <w:r w:rsidR="00DB1BF9">
        <w:rPr>
          <w:rFonts w:ascii="Verdana" w:eastAsia="Verdana" w:hAnsi="Verdana" w:cs="Verdana"/>
          <w:color w:val="000000"/>
          <w:sz w:val="20"/>
          <w:szCs w:val="20"/>
        </w:rPr>
        <w:t xml:space="preserve">of 2026-2030. </w:t>
      </w:r>
      <w:r w:rsidR="00C56169">
        <w:rPr>
          <w:rFonts w:ascii="Verdana" w:eastAsia="Verdana" w:hAnsi="Verdana" w:cs="Verdana"/>
          <w:color w:val="000000"/>
          <w:sz w:val="20"/>
          <w:szCs w:val="20"/>
        </w:rPr>
        <w:t xml:space="preserve">It is expected that the draft Strategy and SACP will be prepared in June 2025, and NACP will engage in the process of consultations with relevant stakeholders as to approval and finalization of the text before adoption. </w:t>
      </w:r>
    </w:p>
    <w:p w14:paraId="661438D3" w14:textId="12E550E7" w:rsidR="00C56169" w:rsidRDefault="0099574A" w:rsidP="00567ABA">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I</w:t>
      </w:r>
      <w:r w:rsidR="00DB1BF9">
        <w:rPr>
          <w:rFonts w:ascii="Verdana" w:eastAsia="Verdana" w:hAnsi="Verdana" w:cs="Verdana"/>
          <w:color w:val="000000"/>
          <w:sz w:val="20"/>
          <w:szCs w:val="20"/>
        </w:rPr>
        <w:t xml:space="preserve">t is expected that the new Strategy and SACP would be adopted by the Parliament </w:t>
      </w:r>
      <w:r w:rsidR="00FF291A">
        <w:rPr>
          <w:rFonts w:ascii="Verdana" w:eastAsia="Verdana" w:hAnsi="Verdana" w:cs="Verdana"/>
          <w:color w:val="000000"/>
          <w:sz w:val="20"/>
          <w:szCs w:val="20"/>
        </w:rPr>
        <w:t xml:space="preserve">                              </w:t>
      </w:r>
      <w:r w:rsidR="00DB1BF9">
        <w:rPr>
          <w:rFonts w:ascii="Verdana" w:eastAsia="Verdana" w:hAnsi="Verdana" w:cs="Verdana"/>
          <w:color w:val="000000"/>
          <w:sz w:val="20"/>
          <w:szCs w:val="20"/>
        </w:rPr>
        <w:t>and the Government of Ukraine respectively no later than in 2</w:t>
      </w:r>
      <w:r w:rsidR="00C56169" w:rsidRPr="00625506">
        <w:rPr>
          <w:rFonts w:ascii="Verdana" w:eastAsia="Verdana" w:hAnsi="Verdana" w:cs="Verdana"/>
          <w:color w:val="000000"/>
          <w:sz w:val="20"/>
          <w:szCs w:val="20"/>
          <w:vertAlign w:val="superscript"/>
        </w:rPr>
        <w:t>nd</w:t>
      </w:r>
      <w:r w:rsidR="00C56169">
        <w:rPr>
          <w:rFonts w:ascii="Verdana" w:eastAsia="Verdana" w:hAnsi="Verdana" w:cs="Verdana"/>
          <w:color w:val="000000"/>
          <w:sz w:val="20"/>
          <w:szCs w:val="20"/>
        </w:rPr>
        <w:t xml:space="preserve"> </w:t>
      </w:r>
      <w:r w:rsidR="00DB1BF9">
        <w:rPr>
          <w:rFonts w:ascii="Verdana" w:eastAsia="Verdana" w:hAnsi="Verdana" w:cs="Verdana"/>
          <w:color w:val="000000"/>
          <w:sz w:val="20"/>
          <w:szCs w:val="20"/>
        </w:rPr>
        <w:t>Quarter of 2026.</w:t>
      </w:r>
    </w:p>
    <w:p w14:paraId="0506D938" w14:textId="5D216E93" w:rsidR="00AB108E" w:rsidRDefault="00DB1BF9" w:rsidP="00567ABA">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To support the Agency in achieving this goal, the EUACI launches this tender to identify a pool of experts that will </w:t>
      </w:r>
      <w:r w:rsidR="00730174">
        <w:rPr>
          <w:rFonts w:ascii="Verdana" w:eastAsia="Verdana" w:hAnsi="Verdana" w:cs="Verdana"/>
          <w:color w:val="000000"/>
          <w:sz w:val="20"/>
          <w:szCs w:val="20"/>
        </w:rPr>
        <w:t>analyse</w:t>
      </w:r>
      <w:r>
        <w:rPr>
          <w:rFonts w:ascii="Verdana" w:eastAsia="Verdana" w:hAnsi="Verdana" w:cs="Verdana"/>
          <w:color w:val="000000"/>
          <w:sz w:val="20"/>
          <w:szCs w:val="20"/>
        </w:rPr>
        <w:t xml:space="preserve"> corruption risks in the </w:t>
      </w:r>
      <w:r w:rsidR="003F6587">
        <w:rPr>
          <w:rFonts w:ascii="Verdana" w:eastAsia="Verdana" w:hAnsi="Verdana" w:cs="Verdana"/>
          <w:color w:val="000000"/>
          <w:sz w:val="20"/>
          <w:szCs w:val="20"/>
        </w:rPr>
        <w:t xml:space="preserve">sphere of taxation </w:t>
      </w:r>
      <w:r>
        <w:rPr>
          <w:rFonts w:ascii="Verdana" w:eastAsia="Verdana" w:hAnsi="Verdana" w:cs="Verdana"/>
          <w:color w:val="000000"/>
          <w:sz w:val="20"/>
          <w:szCs w:val="20"/>
        </w:rPr>
        <w:t>and provide recommendations on how to address those in the relevant parts of the future Strategy and SACP.</w:t>
      </w:r>
    </w:p>
    <w:p w14:paraId="3B80CE4D" w14:textId="2A63D084" w:rsidR="00567ABA" w:rsidRDefault="00C56169" w:rsidP="000F1095">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expert support will be needed </w:t>
      </w:r>
      <w:r w:rsidR="00612072">
        <w:rPr>
          <w:rFonts w:ascii="Verdana" w:eastAsia="Verdana" w:hAnsi="Verdana" w:cs="Verdana"/>
          <w:color w:val="000000"/>
          <w:sz w:val="20"/>
          <w:szCs w:val="20"/>
        </w:rPr>
        <w:t>i</w:t>
      </w:r>
      <w:r>
        <w:rPr>
          <w:rFonts w:ascii="Verdana" w:eastAsia="Verdana" w:hAnsi="Verdana" w:cs="Verdana"/>
          <w:color w:val="000000"/>
          <w:sz w:val="20"/>
          <w:szCs w:val="20"/>
        </w:rPr>
        <w:t xml:space="preserve">n two stages: 1) Conducting a corruption risk assessment and preparation of the first drafts of the Strategy and SACP before end of May 2025; 2) Further ad hoc consultations and advise to the NACP in the </w:t>
      </w:r>
      <w:r w:rsidR="00DD39A5">
        <w:rPr>
          <w:rFonts w:ascii="Verdana" w:eastAsia="Verdana" w:hAnsi="Verdana" w:cs="Verdana"/>
          <w:color w:val="000000"/>
          <w:sz w:val="20"/>
          <w:szCs w:val="20"/>
        </w:rPr>
        <w:t xml:space="preserve">process </w:t>
      </w:r>
      <w:r>
        <w:rPr>
          <w:rFonts w:ascii="Verdana" w:eastAsia="Verdana" w:hAnsi="Verdana" w:cs="Verdana"/>
          <w:color w:val="000000"/>
          <w:sz w:val="20"/>
          <w:szCs w:val="20"/>
        </w:rPr>
        <w:t>of approving the Strategy and SACP with relevant stakeholder before final adoption that is expected in 2</w:t>
      </w:r>
      <w:r w:rsidRPr="00625506">
        <w:rPr>
          <w:rFonts w:ascii="Verdana" w:eastAsia="Verdana" w:hAnsi="Verdana" w:cs="Verdana"/>
          <w:color w:val="000000"/>
          <w:sz w:val="20"/>
          <w:szCs w:val="20"/>
          <w:vertAlign w:val="superscript"/>
        </w:rPr>
        <w:t>nd</w:t>
      </w:r>
      <w:r>
        <w:rPr>
          <w:rFonts w:ascii="Verdana" w:eastAsia="Verdana" w:hAnsi="Verdana" w:cs="Verdana"/>
          <w:color w:val="000000"/>
          <w:sz w:val="20"/>
          <w:szCs w:val="20"/>
        </w:rPr>
        <w:t xml:space="preserve"> Quarter of 2026. The most of the workload of the experts will be expected during stage 1. </w:t>
      </w:r>
    </w:p>
    <w:p w14:paraId="524325BB" w14:textId="77777777" w:rsidR="000F1095" w:rsidRPr="000F1095" w:rsidRDefault="000F1095" w:rsidP="000F1095">
      <w:pPr>
        <w:spacing w:line="360" w:lineRule="auto"/>
        <w:jc w:val="both"/>
        <w:rPr>
          <w:rFonts w:ascii="Verdana" w:eastAsia="Verdana" w:hAnsi="Verdana" w:cs="Verdana"/>
          <w:color w:val="000000"/>
          <w:sz w:val="20"/>
          <w:szCs w:val="20"/>
        </w:rPr>
      </w:pPr>
    </w:p>
    <w:p w14:paraId="38C60E9B" w14:textId="77777777" w:rsidR="000F1095" w:rsidRDefault="000F1095" w:rsidP="00567ABA">
      <w:pPr>
        <w:shd w:val="clear" w:color="auto" w:fill="FFFFFF"/>
        <w:spacing w:line="360" w:lineRule="auto"/>
        <w:jc w:val="both"/>
        <w:rPr>
          <w:rFonts w:ascii="Verdana" w:eastAsia="Verdana" w:hAnsi="Verdana" w:cs="Verdana"/>
          <w:b/>
          <w:color w:val="000000"/>
          <w:sz w:val="20"/>
          <w:szCs w:val="20"/>
        </w:rPr>
      </w:pPr>
    </w:p>
    <w:p w14:paraId="7C2DF670" w14:textId="6184A54B" w:rsidR="00AB108E" w:rsidRDefault="00DB1BF9" w:rsidP="00567ABA">
      <w:pPr>
        <w:shd w:val="clear" w:color="auto" w:fill="FFFFFF"/>
        <w:spacing w:line="360" w:lineRule="auto"/>
        <w:jc w:val="both"/>
        <w:rPr>
          <w:rFonts w:ascii="Verdana" w:eastAsia="Verdana" w:hAnsi="Verdana" w:cs="Verdana"/>
          <w:color w:val="000000"/>
          <w:sz w:val="20"/>
          <w:szCs w:val="20"/>
        </w:rPr>
      </w:pPr>
      <w:r>
        <w:rPr>
          <w:rFonts w:ascii="Verdana" w:eastAsia="Verdana" w:hAnsi="Verdana" w:cs="Verdana"/>
          <w:b/>
          <w:color w:val="000000"/>
          <w:sz w:val="20"/>
          <w:szCs w:val="20"/>
        </w:rPr>
        <w:t>Objectives:</w:t>
      </w:r>
    </w:p>
    <w:p w14:paraId="0A542AA4" w14:textId="669BD54B" w:rsidR="00AB108E" w:rsidRDefault="00DB1BF9" w:rsidP="00567ABA">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To provide the NACP with sectoral expertise in the </w:t>
      </w:r>
      <w:r w:rsidR="003F6587">
        <w:rPr>
          <w:rFonts w:ascii="Verdana" w:eastAsia="Verdana" w:hAnsi="Verdana" w:cs="Verdana"/>
          <w:color w:val="000000"/>
          <w:sz w:val="20"/>
          <w:szCs w:val="20"/>
        </w:rPr>
        <w:t xml:space="preserve">sphere of taxation </w:t>
      </w:r>
      <w:r w:rsidR="0099574A">
        <w:rPr>
          <w:rFonts w:ascii="Verdana" w:eastAsia="Verdana" w:hAnsi="Verdana" w:cs="Verdana"/>
          <w:color w:val="000000"/>
          <w:sz w:val="20"/>
          <w:szCs w:val="20"/>
        </w:rPr>
        <w:t>in order</w:t>
      </w:r>
      <w:r w:rsidR="00FF291A">
        <w:rPr>
          <w:rFonts w:ascii="Verdana" w:eastAsia="Verdana" w:hAnsi="Verdana" w:cs="Verdana"/>
          <w:color w:val="000000"/>
          <w:sz w:val="20"/>
          <w:szCs w:val="20"/>
        </w:rPr>
        <w:t xml:space="preserve"> </w:t>
      </w:r>
      <w:bookmarkStart w:id="0" w:name="_Hlk190339944"/>
      <w:r w:rsidR="0099574A">
        <w:rPr>
          <w:rFonts w:ascii="Verdana" w:eastAsia="Verdana" w:hAnsi="Verdana" w:cs="Verdana"/>
          <w:color w:val="000000"/>
          <w:sz w:val="20"/>
          <w:szCs w:val="20"/>
        </w:rPr>
        <w:t>to analyse corruption risks and suggest mitigation measures</w:t>
      </w:r>
      <w:r>
        <w:rPr>
          <w:rFonts w:ascii="Verdana" w:eastAsia="Verdana" w:hAnsi="Verdana" w:cs="Verdana"/>
          <w:color w:val="000000"/>
          <w:sz w:val="20"/>
          <w:szCs w:val="20"/>
        </w:rPr>
        <w:t xml:space="preserve"> to better equip the NACP</w:t>
      </w:r>
      <w:r w:rsidR="009C2479">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in preparation of the new Strategy and the SACP based on evidence-based policy analysis. </w:t>
      </w:r>
    </w:p>
    <w:bookmarkEnd w:id="0"/>
    <w:p w14:paraId="59F4841B" w14:textId="77777777" w:rsidR="00AB108E" w:rsidRDefault="00DB1BF9" w:rsidP="00567ABA">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p>
    <w:p w14:paraId="147CF84C" w14:textId="77777777" w:rsidR="00AB108E" w:rsidRDefault="00DB1BF9" w:rsidP="00567ABA">
      <w:pPr>
        <w:spacing w:line="360" w:lineRule="auto"/>
        <w:rPr>
          <w:rFonts w:ascii="Verdana" w:eastAsia="Verdana" w:hAnsi="Verdana" w:cs="Verdana"/>
          <w:b/>
          <w:color w:val="000000"/>
          <w:sz w:val="20"/>
          <w:szCs w:val="20"/>
        </w:rPr>
      </w:pPr>
      <w:r>
        <w:rPr>
          <w:rFonts w:ascii="Verdana" w:eastAsia="Verdana" w:hAnsi="Verdana" w:cs="Verdana"/>
          <w:b/>
          <w:color w:val="000000"/>
          <w:sz w:val="20"/>
          <w:szCs w:val="20"/>
        </w:rPr>
        <w:t>Scope of work and deliverables:</w:t>
      </w:r>
    </w:p>
    <w:p w14:paraId="194E3216" w14:textId="698F807A" w:rsidR="00AB108E" w:rsidRDefault="00DB1BF9" w:rsidP="00567ABA">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assignment </w:t>
      </w:r>
      <w:r w:rsidR="004B0399" w:rsidRPr="004B0399">
        <w:rPr>
          <w:rFonts w:ascii="Verdana" w:eastAsia="Verdana" w:hAnsi="Verdana" w:cs="Verdana"/>
          <w:color w:val="000000"/>
          <w:sz w:val="20"/>
          <w:szCs w:val="20"/>
        </w:rPr>
        <w:t xml:space="preserve">for the group of sectoral experts </w:t>
      </w:r>
      <w:r>
        <w:rPr>
          <w:rFonts w:ascii="Verdana" w:eastAsia="Verdana" w:hAnsi="Verdana" w:cs="Verdana"/>
          <w:color w:val="000000"/>
          <w:sz w:val="20"/>
          <w:szCs w:val="20"/>
        </w:rPr>
        <w:t>includes the following key tasks:</w:t>
      </w:r>
    </w:p>
    <w:p w14:paraId="52B66434" w14:textId="03527A90" w:rsidR="00296902" w:rsidRPr="00FA2591" w:rsidRDefault="00DB1BF9" w:rsidP="00567ABA">
      <w:pPr>
        <w:pStyle w:val="ListParagraph"/>
        <w:numPr>
          <w:ilvl w:val="0"/>
          <w:numId w:val="11"/>
        </w:numPr>
        <w:spacing w:line="360" w:lineRule="auto"/>
        <w:jc w:val="both"/>
        <w:rPr>
          <w:rFonts w:ascii="Verdana" w:eastAsia="Verdana" w:hAnsi="Verdana" w:cs="Verdana"/>
          <w:b/>
          <w:color w:val="000000"/>
          <w:sz w:val="20"/>
          <w:szCs w:val="20"/>
        </w:rPr>
      </w:pPr>
      <w:r w:rsidRPr="00625506">
        <w:rPr>
          <w:rFonts w:ascii="Verdana" w:eastAsia="Verdana" w:hAnsi="Verdana" w:cs="Verdana"/>
          <w:color w:val="000000"/>
          <w:sz w:val="20"/>
          <w:szCs w:val="20"/>
        </w:rPr>
        <w:t xml:space="preserve">Under the guidance of the NACP, to prepare </w:t>
      </w:r>
      <w:r w:rsidR="00FA2591" w:rsidRPr="00FA2591">
        <w:rPr>
          <w:rFonts w:ascii="Verdana" w:eastAsia="Verdana" w:hAnsi="Verdana" w:cs="Verdana"/>
          <w:color w:val="000000"/>
          <w:sz w:val="20"/>
          <w:szCs w:val="20"/>
        </w:rPr>
        <w:t>an analytical study on corruption-prone processes</w:t>
      </w:r>
      <w:r w:rsidR="00FA2591">
        <w:rPr>
          <w:rFonts w:ascii="Verdana" w:eastAsia="Verdana" w:hAnsi="Verdana" w:cs="Verdana"/>
          <w:color w:val="000000"/>
          <w:sz w:val="20"/>
          <w:szCs w:val="20"/>
        </w:rPr>
        <w:t xml:space="preserve"> </w:t>
      </w:r>
      <w:r w:rsidR="00296902" w:rsidRPr="00FA2591">
        <w:rPr>
          <w:rFonts w:ascii="Verdana" w:eastAsia="Verdana" w:hAnsi="Verdana" w:cs="Verdana"/>
          <w:bCs/>
          <w:color w:val="000000"/>
          <w:sz w:val="20"/>
          <w:szCs w:val="20"/>
        </w:rPr>
        <w:t xml:space="preserve">in the </w:t>
      </w:r>
      <w:r w:rsidR="003F6587">
        <w:rPr>
          <w:rFonts w:ascii="Verdana" w:eastAsia="Verdana" w:hAnsi="Verdana" w:cs="Verdana"/>
          <w:bCs/>
          <w:color w:val="000000"/>
          <w:sz w:val="20"/>
          <w:szCs w:val="20"/>
        </w:rPr>
        <w:t xml:space="preserve">sphere of taxation </w:t>
      </w:r>
      <w:r w:rsidR="00296902" w:rsidRPr="00FA2591">
        <w:rPr>
          <w:rFonts w:ascii="Verdana" w:eastAsia="Verdana" w:hAnsi="Verdana" w:cs="Verdana"/>
          <w:b/>
          <w:color w:val="000000"/>
          <w:sz w:val="20"/>
          <w:szCs w:val="20"/>
        </w:rPr>
        <w:t>by the end of May 2025.</w:t>
      </w:r>
      <w:r w:rsidR="00296902" w:rsidRPr="00FA2591">
        <w:rPr>
          <w:rFonts w:ascii="Verdana" w:eastAsia="Verdana" w:hAnsi="Verdana" w:cs="Verdana"/>
          <w:bCs/>
          <w:color w:val="000000"/>
          <w:sz w:val="20"/>
          <w:szCs w:val="20"/>
        </w:rPr>
        <w:t xml:space="preserve"> When preparing</w:t>
      </w:r>
      <w:r w:rsidR="009C2479" w:rsidRPr="00FA2591">
        <w:rPr>
          <w:rFonts w:ascii="Verdana" w:eastAsia="Verdana" w:hAnsi="Verdana" w:cs="Verdana"/>
          <w:bCs/>
          <w:color w:val="000000"/>
          <w:sz w:val="20"/>
          <w:szCs w:val="20"/>
        </w:rPr>
        <w:t xml:space="preserve"> </w:t>
      </w:r>
      <w:r w:rsidR="00296902" w:rsidRPr="00FA2591">
        <w:rPr>
          <w:rFonts w:ascii="Verdana" w:eastAsia="Verdana" w:hAnsi="Verdana" w:cs="Verdana"/>
          <w:bCs/>
          <w:color w:val="000000"/>
          <w:sz w:val="20"/>
          <w:szCs w:val="20"/>
        </w:rPr>
        <w:t xml:space="preserve">the study, </w:t>
      </w:r>
      <w:r w:rsidR="00FA2591">
        <w:rPr>
          <w:rFonts w:ascii="Verdana" w:eastAsia="Verdana" w:hAnsi="Verdana" w:cs="Verdana"/>
          <w:bCs/>
          <w:color w:val="000000"/>
          <w:sz w:val="20"/>
          <w:szCs w:val="20"/>
        </w:rPr>
        <w:t xml:space="preserve">                        </w:t>
      </w:r>
      <w:r w:rsidR="00296902" w:rsidRPr="00FA2591">
        <w:rPr>
          <w:rFonts w:ascii="Verdana" w:eastAsia="Verdana" w:hAnsi="Verdana" w:cs="Verdana"/>
          <w:bCs/>
          <w:color w:val="000000"/>
          <w:sz w:val="20"/>
          <w:szCs w:val="20"/>
        </w:rPr>
        <w:t xml:space="preserve">it is expected that the group of sectoral experts will, </w:t>
      </w:r>
      <w:r w:rsidR="00FF291A" w:rsidRPr="00FA2591">
        <w:rPr>
          <w:rFonts w:ascii="Verdana" w:eastAsia="Verdana" w:hAnsi="Verdana" w:cs="Verdana"/>
          <w:bCs/>
          <w:color w:val="000000"/>
          <w:sz w:val="20"/>
          <w:szCs w:val="20"/>
        </w:rPr>
        <w:t>i.e.</w:t>
      </w:r>
      <w:r w:rsidR="00296902" w:rsidRPr="00FA2591">
        <w:rPr>
          <w:rFonts w:ascii="Verdana" w:eastAsia="Verdana" w:hAnsi="Verdana" w:cs="Verdana"/>
          <w:bCs/>
          <w:color w:val="000000"/>
          <w:sz w:val="20"/>
          <w:szCs w:val="20"/>
        </w:rPr>
        <w:t>,</w:t>
      </w:r>
      <w:r w:rsidR="00FF291A" w:rsidRPr="00FA2591">
        <w:rPr>
          <w:rFonts w:ascii="Verdana" w:eastAsia="Verdana" w:hAnsi="Verdana" w:cs="Verdana"/>
          <w:bCs/>
          <w:color w:val="000000"/>
          <w:sz w:val="20"/>
          <w:szCs w:val="20"/>
        </w:rPr>
        <w:t xml:space="preserve"> </w:t>
      </w:r>
      <w:r w:rsidR="00296902" w:rsidRPr="00FA2591">
        <w:rPr>
          <w:rFonts w:ascii="Verdana" w:eastAsia="Verdana" w:hAnsi="Verdana" w:cs="Verdana"/>
          <w:bCs/>
          <w:color w:val="000000"/>
          <w:sz w:val="20"/>
          <w:szCs w:val="20"/>
        </w:rPr>
        <w:t xml:space="preserve">but not exclusively: </w:t>
      </w:r>
    </w:p>
    <w:p w14:paraId="39113833" w14:textId="0AD846C5" w:rsidR="00296902" w:rsidRDefault="00296902" w:rsidP="00567ABA">
      <w:pPr>
        <w:pStyle w:val="ListParagraph"/>
        <w:numPr>
          <w:ilvl w:val="0"/>
          <w:numId w:val="12"/>
        </w:numPr>
        <w:spacing w:line="360" w:lineRule="auto"/>
        <w:jc w:val="both"/>
        <w:rPr>
          <w:rFonts w:ascii="Verdana" w:eastAsia="Verdana" w:hAnsi="Verdana" w:cs="Verdana"/>
          <w:bCs/>
          <w:color w:val="000000"/>
          <w:sz w:val="20"/>
          <w:szCs w:val="20"/>
        </w:rPr>
      </w:pPr>
      <w:r w:rsidRPr="00296902">
        <w:rPr>
          <w:rFonts w:ascii="Verdana" w:eastAsia="Verdana" w:hAnsi="Verdana" w:cs="Verdana"/>
          <w:bCs/>
          <w:color w:val="000000"/>
          <w:sz w:val="20"/>
          <w:szCs w:val="20"/>
        </w:rPr>
        <w:t>determine the general legal and institutional framework of the</w:t>
      </w:r>
      <w:r w:rsidR="003F6587">
        <w:rPr>
          <w:rFonts w:ascii="Verdana" w:eastAsia="Verdana" w:hAnsi="Verdana" w:cs="Verdana"/>
          <w:bCs/>
          <w:color w:val="000000"/>
          <w:sz w:val="20"/>
          <w:szCs w:val="20"/>
        </w:rPr>
        <w:t xml:space="preserve"> </w:t>
      </w:r>
      <w:r w:rsidR="003F6587" w:rsidRPr="003F6587">
        <w:rPr>
          <w:rFonts w:ascii="Verdana" w:eastAsia="Verdana" w:hAnsi="Verdana" w:cs="Verdana"/>
          <w:bCs/>
          <w:color w:val="000000"/>
          <w:sz w:val="20"/>
          <w:szCs w:val="20"/>
        </w:rPr>
        <w:t>sphere of taxation</w:t>
      </w:r>
      <w:r w:rsidRPr="00296902">
        <w:rPr>
          <w:rFonts w:ascii="Verdana" w:eastAsia="Verdana" w:hAnsi="Verdana" w:cs="Verdana"/>
          <w:bCs/>
          <w:color w:val="000000"/>
          <w:sz w:val="20"/>
          <w:szCs w:val="20"/>
        </w:rPr>
        <w:t xml:space="preserve">; </w:t>
      </w:r>
    </w:p>
    <w:p w14:paraId="467FE3F4" w14:textId="79F794AD" w:rsidR="00296902" w:rsidRDefault="00296902" w:rsidP="00567ABA">
      <w:pPr>
        <w:pStyle w:val="ListParagraph"/>
        <w:numPr>
          <w:ilvl w:val="0"/>
          <w:numId w:val="12"/>
        </w:numPr>
        <w:spacing w:line="360" w:lineRule="auto"/>
        <w:jc w:val="both"/>
        <w:rPr>
          <w:rFonts w:ascii="Verdana" w:eastAsia="Verdana" w:hAnsi="Verdana" w:cs="Verdana"/>
          <w:bCs/>
          <w:color w:val="000000"/>
          <w:sz w:val="20"/>
          <w:szCs w:val="20"/>
        </w:rPr>
      </w:pPr>
      <w:r w:rsidRPr="00296902">
        <w:rPr>
          <w:rFonts w:ascii="Verdana" w:eastAsia="Verdana" w:hAnsi="Verdana" w:cs="Verdana"/>
          <w:bCs/>
          <w:color w:val="000000"/>
          <w:sz w:val="20"/>
          <w:szCs w:val="20"/>
        </w:rPr>
        <w:t xml:space="preserve">assess the potential for the implementation of best regulations and global practices </w:t>
      </w:r>
      <w:r>
        <w:rPr>
          <w:rFonts w:ascii="Verdana" w:eastAsia="Verdana" w:hAnsi="Verdana" w:cs="Verdana"/>
          <w:bCs/>
          <w:color w:val="000000"/>
          <w:sz w:val="20"/>
          <w:szCs w:val="20"/>
        </w:rPr>
        <w:t xml:space="preserve">                </w:t>
      </w:r>
      <w:r w:rsidRPr="00296902">
        <w:rPr>
          <w:rFonts w:ascii="Verdana" w:eastAsia="Verdana" w:hAnsi="Verdana" w:cs="Verdana"/>
          <w:bCs/>
          <w:color w:val="000000"/>
          <w:sz w:val="20"/>
          <w:szCs w:val="20"/>
        </w:rPr>
        <w:t xml:space="preserve">that contribute to the prevention of corruption in the </w:t>
      </w:r>
      <w:r w:rsidR="003F6587" w:rsidRPr="003F6587">
        <w:rPr>
          <w:rFonts w:ascii="Verdana" w:eastAsia="Verdana" w:hAnsi="Verdana" w:cs="Verdana"/>
          <w:bCs/>
          <w:color w:val="000000"/>
          <w:sz w:val="20"/>
          <w:szCs w:val="20"/>
        </w:rPr>
        <w:t>sphere of taxation</w:t>
      </w:r>
      <w:r w:rsidRPr="00296902">
        <w:rPr>
          <w:rFonts w:ascii="Verdana" w:eastAsia="Verdana" w:hAnsi="Verdana" w:cs="Verdana"/>
          <w:bCs/>
          <w:color w:val="000000"/>
          <w:sz w:val="20"/>
          <w:szCs w:val="20"/>
        </w:rPr>
        <w:t xml:space="preserve">; </w:t>
      </w:r>
    </w:p>
    <w:p w14:paraId="73E8DC30" w14:textId="7DCC6708" w:rsidR="00296902" w:rsidRDefault="00296902" w:rsidP="00567ABA">
      <w:pPr>
        <w:pStyle w:val="ListParagraph"/>
        <w:numPr>
          <w:ilvl w:val="0"/>
          <w:numId w:val="12"/>
        </w:numPr>
        <w:spacing w:line="360" w:lineRule="auto"/>
        <w:jc w:val="both"/>
        <w:rPr>
          <w:rFonts w:ascii="Verdana" w:eastAsia="Verdana" w:hAnsi="Verdana" w:cs="Verdana"/>
          <w:bCs/>
          <w:color w:val="000000"/>
          <w:sz w:val="20"/>
          <w:szCs w:val="20"/>
        </w:rPr>
      </w:pPr>
      <w:r w:rsidRPr="00296902">
        <w:rPr>
          <w:rFonts w:ascii="Verdana" w:eastAsia="Verdana" w:hAnsi="Verdana" w:cs="Verdana"/>
          <w:bCs/>
          <w:color w:val="000000"/>
          <w:sz w:val="20"/>
          <w:szCs w:val="20"/>
        </w:rPr>
        <w:t xml:space="preserve">assess the status of the implementation of the Anti-Corruption Strategy for </w:t>
      </w:r>
      <w:r>
        <w:rPr>
          <w:rFonts w:ascii="Verdana" w:eastAsia="Verdana" w:hAnsi="Verdana" w:cs="Verdana"/>
          <w:bCs/>
          <w:color w:val="000000"/>
          <w:sz w:val="20"/>
          <w:szCs w:val="20"/>
        </w:rPr>
        <w:t xml:space="preserve">the period </w:t>
      </w:r>
      <w:r w:rsidRPr="00296902">
        <w:rPr>
          <w:rFonts w:ascii="Verdana" w:eastAsia="Verdana" w:hAnsi="Verdana" w:cs="Verdana"/>
          <w:bCs/>
          <w:color w:val="000000"/>
          <w:sz w:val="20"/>
          <w:szCs w:val="20"/>
        </w:rPr>
        <w:t xml:space="preserve">2021-2025 and the State Anti-Corruption Program for </w:t>
      </w:r>
      <w:r>
        <w:rPr>
          <w:rFonts w:ascii="Verdana" w:eastAsia="Verdana" w:hAnsi="Verdana" w:cs="Verdana"/>
          <w:bCs/>
          <w:color w:val="000000"/>
          <w:sz w:val="20"/>
          <w:szCs w:val="20"/>
        </w:rPr>
        <w:t xml:space="preserve">the period </w:t>
      </w:r>
      <w:r w:rsidRPr="00296902">
        <w:rPr>
          <w:rFonts w:ascii="Verdana" w:eastAsia="Verdana" w:hAnsi="Verdana" w:cs="Verdana"/>
          <w:bCs/>
          <w:color w:val="000000"/>
          <w:sz w:val="20"/>
          <w:szCs w:val="20"/>
        </w:rPr>
        <w:t>2023-2025 in the</w:t>
      </w:r>
      <w:r w:rsidR="003F6587">
        <w:rPr>
          <w:rFonts w:ascii="Verdana" w:eastAsia="Verdana" w:hAnsi="Verdana" w:cs="Verdana"/>
          <w:bCs/>
          <w:color w:val="000000"/>
          <w:sz w:val="20"/>
          <w:szCs w:val="20"/>
        </w:rPr>
        <w:t xml:space="preserve"> </w:t>
      </w:r>
      <w:r w:rsidR="003F6587" w:rsidRPr="003F6587">
        <w:rPr>
          <w:rFonts w:ascii="Verdana" w:eastAsia="Verdana" w:hAnsi="Verdana" w:cs="Verdana"/>
          <w:bCs/>
          <w:color w:val="000000"/>
          <w:sz w:val="20"/>
          <w:szCs w:val="20"/>
        </w:rPr>
        <w:t>sphere of taxation</w:t>
      </w:r>
      <w:r w:rsidRPr="00296902">
        <w:rPr>
          <w:rFonts w:ascii="Verdana" w:eastAsia="Verdana" w:hAnsi="Verdana" w:cs="Verdana"/>
          <w:bCs/>
          <w:color w:val="000000"/>
          <w:sz w:val="20"/>
          <w:szCs w:val="20"/>
        </w:rPr>
        <w:t xml:space="preserve">; </w:t>
      </w:r>
    </w:p>
    <w:p w14:paraId="01218CFB" w14:textId="77777777" w:rsidR="00296902" w:rsidRDefault="00296902" w:rsidP="00567ABA">
      <w:pPr>
        <w:pStyle w:val="ListParagraph"/>
        <w:numPr>
          <w:ilvl w:val="0"/>
          <w:numId w:val="12"/>
        </w:numPr>
        <w:spacing w:line="360" w:lineRule="auto"/>
        <w:jc w:val="both"/>
        <w:rPr>
          <w:rFonts w:ascii="Verdana" w:eastAsia="Verdana" w:hAnsi="Verdana" w:cs="Verdana"/>
          <w:bCs/>
          <w:color w:val="000000"/>
          <w:sz w:val="20"/>
          <w:szCs w:val="20"/>
        </w:rPr>
      </w:pPr>
      <w:r w:rsidRPr="00296902">
        <w:rPr>
          <w:rFonts w:ascii="Verdana" w:eastAsia="Verdana" w:hAnsi="Verdana" w:cs="Verdana"/>
          <w:bCs/>
          <w:color w:val="000000"/>
          <w:sz w:val="20"/>
          <w:szCs w:val="20"/>
        </w:rPr>
        <w:t xml:space="preserve">identify sectoral problems that cause the greatest economic, social or organizational </w:t>
      </w:r>
      <w:r>
        <w:rPr>
          <w:rFonts w:ascii="Verdana" w:eastAsia="Verdana" w:hAnsi="Verdana" w:cs="Verdana"/>
          <w:bCs/>
          <w:color w:val="000000"/>
          <w:sz w:val="20"/>
          <w:szCs w:val="20"/>
        </w:rPr>
        <w:t>negative influence</w:t>
      </w:r>
      <w:r w:rsidRPr="00296902">
        <w:rPr>
          <w:rFonts w:ascii="Verdana" w:eastAsia="Verdana" w:hAnsi="Verdana" w:cs="Verdana"/>
          <w:bCs/>
          <w:color w:val="000000"/>
          <w:sz w:val="20"/>
          <w:szCs w:val="20"/>
        </w:rPr>
        <w:t xml:space="preserve">, as well as generate (may generate) corrupt practices in the subject </w:t>
      </w:r>
      <w:r>
        <w:rPr>
          <w:rFonts w:ascii="Verdana" w:eastAsia="Verdana" w:hAnsi="Verdana" w:cs="Verdana"/>
          <w:bCs/>
          <w:color w:val="000000"/>
          <w:sz w:val="20"/>
          <w:szCs w:val="20"/>
        </w:rPr>
        <w:t>sphere</w:t>
      </w:r>
      <w:r w:rsidRPr="00296902">
        <w:rPr>
          <w:rFonts w:ascii="Verdana" w:eastAsia="Verdana" w:hAnsi="Verdana" w:cs="Verdana"/>
          <w:bCs/>
          <w:color w:val="000000"/>
          <w:sz w:val="20"/>
          <w:szCs w:val="20"/>
        </w:rPr>
        <w:t xml:space="preserve">; </w:t>
      </w:r>
    </w:p>
    <w:p w14:paraId="6E06B5C0" w14:textId="25999797" w:rsidR="00296902" w:rsidRDefault="00296902" w:rsidP="00567ABA">
      <w:pPr>
        <w:pStyle w:val="ListParagraph"/>
        <w:numPr>
          <w:ilvl w:val="0"/>
          <w:numId w:val="12"/>
        </w:numPr>
        <w:spacing w:line="360" w:lineRule="auto"/>
        <w:jc w:val="both"/>
        <w:rPr>
          <w:rFonts w:ascii="Verdana" w:eastAsia="Verdana" w:hAnsi="Verdana" w:cs="Verdana"/>
          <w:bCs/>
          <w:color w:val="000000"/>
          <w:sz w:val="20"/>
          <w:szCs w:val="20"/>
        </w:rPr>
      </w:pPr>
      <w:r w:rsidRPr="00296902">
        <w:rPr>
          <w:rFonts w:ascii="Verdana" w:eastAsia="Verdana" w:hAnsi="Verdana" w:cs="Verdana"/>
          <w:bCs/>
          <w:color w:val="000000"/>
          <w:sz w:val="20"/>
          <w:szCs w:val="20"/>
        </w:rPr>
        <w:t xml:space="preserve">form a list of priority problems in the </w:t>
      </w:r>
      <w:r w:rsidR="003F6587">
        <w:rPr>
          <w:rFonts w:ascii="Verdana" w:eastAsia="Verdana" w:hAnsi="Verdana" w:cs="Verdana"/>
          <w:bCs/>
          <w:color w:val="000000"/>
          <w:sz w:val="20"/>
          <w:szCs w:val="20"/>
        </w:rPr>
        <w:t xml:space="preserve">sphere of taxation </w:t>
      </w:r>
      <w:r w:rsidRPr="00296902">
        <w:rPr>
          <w:rFonts w:ascii="Verdana" w:eastAsia="Verdana" w:hAnsi="Verdana" w:cs="Verdana"/>
          <w:bCs/>
          <w:color w:val="000000"/>
          <w:sz w:val="20"/>
          <w:szCs w:val="20"/>
        </w:rPr>
        <w:t>that need</w:t>
      </w:r>
      <w:r>
        <w:rPr>
          <w:rFonts w:ascii="Verdana" w:eastAsia="Verdana" w:hAnsi="Verdana" w:cs="Verdana"/>
          <w:bCs/>
          <w:color w:val="000000"/>
          <w:sz w:val="20"/>
          <w:szCs w:val="20"/>
        </w:rPr>
        <w:t xml:space="preserve"> </w:t>
      </w:r>
      <w:r w:rsidRPr="00296902">
        <w:rPr>
          <w:rFonts w:ascii="Verdana" w:eastAsia="Verdana" w:hAnsi="Verdana" w:cs="Verdana"/>
          <w:bCs/>
          <w:color w:val="000000"/>
          <w:sz w:val="20"/>
          <w:szCs w:val="20"/>
        </w:rPr>
        <w:t>to be resolved by including relevant provisions in</w:t>
      </w:r>
      <w:r>
        <w:rPr>
          <w:rFonts w:ascii="Verdana" w:eastAsia="Verdana" w:hAnsi="Verdana" w:cs="Verdana"/>
          <w:bCs/>
          <w:color w:val="000000"/>
          <w:sz w:val="20"/>
          <w:szCs w:val="20"/>
        </w:rPr>
        <w:t>to</w:t>
      </w:r>
      <w:r w:rsidRPr="00296902">
        <w:rPr>
          <w:rFonts w:ascii="Verdana" w:eastAsia="Verdana" w:hAnsi="Verdana" w:cs="Verdana"/>
          <w:bCs/>
          <w:color w:val="000000"/>
          <w:sz w:val="20"/>
          <w:szCs w:val="20"/>
        </w:rPr>
        <w:t xml:space="preserve"> the Anti-Corruption Strategy</w:t>
      </w:r>
      <w:r>
        <w:rPr>
          <w:rFonts w:ascii="Verdana" w:eastAsia="Verdana" w:hAnsi="Verdana" w:cs="Verdana"/>
          <w:bCs/>
          <w:color w:val="000000"/>
          <w:sz w:val="20"/>
          <w:szCs w:val="20"/>
        </w:rPr>
        <w:t xml:space="preserve"> </w:t>
      </w:r>
      <w:r w:rsidRPr="00296902">
        <w:rPr>
          <w:rFonts w:ascii="Verdana" w:eastAsia="Verdana" w:hAnsi="Verdana" w:cs="Verdana"/>
          <w:bCs/>
          <w:color w:val="000000"/>
          <w:sz w:val="20"/>
          <w:szCs w:val="20"/>
        </w:rPr>
        <w:t xml:space="preserve">and Program for </w:t>
      </w:r>
      <w:r>
        <w:rPr>
          <w:rFonts w:ascii="Verdana" w:eastAsia="Verdana" w:hAnsi="Verdana" w:cs="Verdana"/>
          <w:bCs/>
          <w:color w:val="000000"/>
          <w:sz w:val="20"/>
          <w:szCs w:val="20"/>
        </w:rPr>
        <w:t xml:space="preserve">the period </w:t>
      </w:r>
      <w:r w:rsidR="009C2479">
        <w:rPr>
          <w:rFonts w:ascii="Verdana" w:eastAsia="Verdana" w:hAnsi="Verdana" w:cs="Verdana"/>
          <w:bCs/>
          <w:color w:val="000000"/>
          <w:sz w:val="20"/>
          <w:szCs w:val="20"/>
        </w:rPr>
        <w:t xml:space="preserve">                      </w:t>
      </w:r>
      <w:r>
        <w:rPr>
          <w:rFonts w:ascii="Verdana" w:eastAsia="Verdana" w:hAnsi="Verdana" w:cs="Verdana"/>
          <w:bCs/>
          <w:color w:val="000000"/>
          <w:sz w:val="20"/>
          <w:szCs w:val="20"/>
        </w:rPr>
        <w:t xml:space="preserve">of </w:t>
      </w:r>
      <w:r w:rsidRPr="00296902">
        <w:rPr>
          <w:rFonts w:ascii="Verdana" w:eastAsia="Verdana" w:hAnsi="Verdana" w:cs="Verdana"/>
          <w:bCs/>
          <w:color w:val="000000"/>
          <w:sz w:val="20"/>
          <w:szCs w:val="20"/>
        </w:rPr>
        <w:t>2026-2030;</w:t>
      </w:r>
    </w:p>
    <w:p w14:paraId="76AAB98D" w14:textId="4F5BFDC2" w:rsidR="00296902" w:rsidRDefault="00296902" w:rsidP="00567ABA">
      <w:pPr>
        <w:pStyle w:val="ListParagraph"/>
        <w:numPr>
          <w:ilvl w:val="0"/>
          <w:numId w:val="12"/>
        </w:numPr>
        <w:spacing w:line="360" w:lineRule="auto"/>
        <w:jc w:val="both"/>
        <w:rPr>
          <w:rFonts w:ascii="Verdana" w:eastAsia="Verdana" w:hAnsi="Verdana" w:cs="Verdana"/>
          <w:bCs/>
          <w:color w:val="000000"/>
          <w:sz w:val="20"/>
          <w:szCs w:val="20"/>
        </w:rPr>
      </w:pPr>
      <w:r w:rsidRPr="00296902">
        <w:rPr>
          <w:rFonts w:ascii="Verdana" w:eastAsia="Verdana" w:hAnsi="Verdana" w:cs="Verdana"/>
          <w:bCs/>
          <w:color w:val="000000"/>
          <w:sz w:val="20"/>
          <w:szCs w:val="20"/>
        </w:rPr>
        <w:t xml:space="preserve">analyse each </w:t>
      </w:r>
      <w:r>
        <w:rPr>
          <w:rFonts w:ascii="Verdana" w:eastAsia="Verdana" w:hAnsi="Verdana" w:cs="Verdana"/>
          <w:bCs/>
          <w:color w:val="000000"/>
          <w:sz w:val="20"/>
          <w:szCs w:val="20"/>
        </w:rPr>
        <w:t xml:space="preserve">identified </w:t>
      </w:r>
      <w:r w:rsidRPr="00296902">
        <w:rPr>
          <w:rFonts w:ascii="Verdana" w:eastAsia="Verdana" w:hAnsi="Verdana" w:cs="Verdana"/>
          <w:bCs/>
          <w:color w:val="000000"/>
          <w:sz w:val="20"/>
          <w:szCs w:val="20"/>
        </w:rPr>
        <w:t xml:space="preserve">problem selected for the purposes of preparing </w:t>
      </w:r>
      <w:r>
        <w:rPr>
          <w:rFonts w:ascii="Verdana" w:eastAsia="Verdana" w:hAnsi="Verdana" w:cs="Verdana"/>
          <w:bCs/>
          <w:color w:val="000000"/>
          <w:sz w:val="20"/>
          <w:szCs w:val="20"/>
        </w:rPr>
        <w:t xml:space="preserve">                                            </w:t>
      </w:r>
      <w:r w:rsidRPr="00296902">
        <w:rPr>
          <w:rFonts w:ascii="Verdana" w:eastAsia="Verdana" w:hAnsi="Verdana" w:cs="Verdana"/>
          <w:bCs/>
          <w:color w:val="000000"/>
          <w:sz w:val="20"/>
          <w:szCs w:val="20"/>
        </w:rPr>
        <w:t xml:space="preserve">the Anti-Corruption Strategy for </w:t>
      </w:r>
      <w:r>
        <w:rPr>
          <w:rFonts w:ascii="Verdana" w:eastAsia="Verdana" w:hAnsi="Verdana" w:cs="Verdana"/>
          <w:bCs/>
          <w:color w:val="000000"/>
          <w:sz w:val="20"/>
          <w:szCs w:val="20"/>
        </w:rPr>
        <w:t xml:space="preserve">the period of </w:t>
      </w:r>
      <w:r w:rsidRPr="00296902">
        <w:rPr>
          <w:rFonts w:ascii="Verdana" w:eastAsia="Verdana" w:hAnsi="Verdana" w:cs="Verdana"/>
          <w:bCs/>
          <w:color w:val="000000"/>
          <w:sz w:val="20"/>
          <w:szCs w:val="20"/>
        </w:rPr>
        <w:t xml:space="preserve">2026–2030, </w:t>
      </w:r>
      <w:r>
        <w:rPr>
          <w:rFonts w:ascii="Verdana" w:eastAsia="Verdana" w:hAnsi="Verdana" w:cs="Verdana"/>
          <w:bCs/>
          <w:color w:val="000000"/>
          <w:sz w:val="20"/>
          <w:szCs w:val="20"/>
        </w:rPr>
        <w:t xml:space="preserve">as well as </w:t>
      </w:r>
      <w:r w:rsidRPr="00296902">
        <w:rPr>
          <w:rFonts w:ascii="Verdana" w:eastAsia="Verdana" w:hAnsi="Verdana" w:cs="Verdana"/>
          <w:bCs/>
          <w:color w:val="000000"/>
          <w:sz w:val="20"/>
          <w:szCs w:val="20"/>
        </w:rPr>
        <w:t xml:space="preserve">propose options </w:t>
      </w:r>
      <w:r>
        <w:rPr>
          <w:rFonts w:ascii="Verdana" w:eastAsia="Verdana" w:hAnsi="Verdana" w:cs="Verdana"/>
          <w:bCs/>
          <w:color w:val="000000"/>
          <w:sz w:val="20"/>
          <w:szCs w:val="20"/>
        </w:rPr>
        <w:t xml:space="preserve">               </w:t>
      </w:r>
      <w:r w:rsidRPr="00296902">
        <w:rPr>
          <w:rFonts w:ascii="Verdana" w:eastAsia="Verdana" w:hAnsi="Verdana" w:cs="Verdana"/>
          <w:bCs/>
          <w:color w:val="000000"/>
          <w:sz w:val="20"/>
          <w:szCs w:val="20"/>
        </w:rPr>
        <w:t xml:space="preserve">for their solution and </w:t>
      </w:r>
      <w:r>
        <w:rPr>
          <w:rFonts w:ascii="Verdana" w:eastAsia="Verdana" w:hAnsi="Verdana" w:cs="Verdana"/>
          <w:bCs/>
          <w:color w:val="000000"/>
          <w:sz w:val="20"/>
          <w:szCs w:val="20"/>
        </w:rPr>
        <w:t>identify</w:t>
      </w:r>
      <w:r w:rsidRPr="00296902">
        <w:rPr>
          <w:rFonts w:ascii="Verdana" w:eastAsia="Verdana" w:hAnsi="Verdana" w:cs="Verdana"/>
          <w:bCs/>
          <w:color w:val="000000"/>
          <w:sz w:val="20"/>
          <w:szCs w:val="20"/>
        </w:rPr>
        <w:t xml:space="preserve"> the best </w:t>
      </w:r>
      <w:r>
        <w:rPr>
          <w:rFonts w:ascii="Verdana" w:eastAsia="Verdana" w:hAnsi="Verdana" w:cs="Verdana"/>
          <w:bCs/>
          <w:color w:val="000000"/>
          <w:sz w:val="20"/>
          <w:szCs w:val="20"/>
        </w:rPr>
        <w:t xml:space="preserve">ones </w:t>
      </w:r>
      <w:r w:rsidRPr="00296902">
        <w:rPr>
          <w:rFonts w:ascii="Verdana" w:eastAsia="Verdana" w:hAnsi="Verdana" w:cs="Verdana"/>
          <w:bCs/>
          <w:color w:val="000000"/>
          <w:sz w:val="20"/>
          <w:szCs w:val="20"/>
        </w:rPr>
        <w:t xml:space="preserve">among these options; </w:t>
      </w:r>
    </w:p>
    <w:p w14:paraId="1722E0C8" w14:textId="28C51A52" w:rsidR="008D2354" w:rsidRPr="008D2354" w:rsidRDefault="008D2354" w:rsidP="00567ABA">
      <w:pPr>
        <w:pStyle w:val="ListParagraph"/>
        <w:numPr>
          <w:ilvl w:val="0"/>
          <w:numId w:val="12"/>
        </w:numPr>
        <w:spacing w:line="360" w:lineRule="auto"/>
        <w:jc w:val="both"/>
        <w:rPr>
          <w:rFonts w:ascii="Verdana" w:eastAsia="Verdana" w:hAnsi="Verdana" w:cs="Verdana"/>
          <w:bCs/>
          <w:color w:val="000000"/>
          <w:sz w:val="20"/>
          <w:szCs w:val="20"/>
        </w:rPr>
      </w:pPr>
      <w:r>
        <w:rPr>
          <w:rFonts w:ascii="Verdana" w:eastAsia="Verdana" w:hAnsi="Verdana" w:cs="Verdana"/>
          <w:bCs/>
          <w:color w:val="000000"/>
          <w:sz w:val="20"/>
          <w:szCs w:val="20"/>
        </w:rPr>
        <w:t>prepare proposals for the draft Anti-Corruption Strategy and Program for the period                    of 2026–2030.</w:t>
      </w:r>
    </w:p>
    <w:p w14:paraId="68013DBF" w14:textId="7FABB3D7" w:rsidR="00FA2591" w:rsidRPr="0077544E" w:rsidRDefault="00DB1BF9" w:rsidP="00567ABA">
      <w:pPr>
        <w:numPr>
          <w:ilvl w:val="0"/>
          <w:numId w:val="5"/>
        </w:num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 xml:space="preserve">To prepare a document with updates of proposals for related parts of the new SACP after </w:t>
      </w:r>
      <w:r w:rsidR="00F43505">
        <w:rPr>
          <w:rFonts w:ascii="Verdana" w:eastAsia="Verdana" w:hAnsi="Verdana" w:cs="Verdana"/>
          <w:color w:val="000000"/>
          <w:sz w:val="20"/>
          <w:szCs w:val="20"/>
        </w:rPr>
        <w:t xml:space="preserve">              </w:t>
      </w:r>
      <w:r>
        <w:rPr>
          <w:rFonts w:ascii="Verdana" w:eastAsia="Verdana" w:hAnsi="Verdana" w:cs="Verdana"/>
          <w:color w:val="000000"/>
          <w:sz w:val="20"/>
          <w:szCs w:val="20"/>
        </w:rPr>
        <w:t>the a</w:t>
      </w:r>
      <w:r w:rsidR="003F6587">
        <w:rPr>
          <w:rFonts w:ascii="Verdana" w:eastAsia="Verdana" w:hAnsi="Verdana" w:cs="Verdana"/>
          <w:color w:val="000000"/>
          <w:sz w:val="20"/>
          <w:szCs w:val="20"/>
        </w:rPr>
        <w:t>doption</w:t>
      </w:r>
      <w:r>
        <w:rPr>
          <w:rFonts w:ascii="Verdana" w:eastAsia="Verdana" w:hAnsi="Verdana" w:cs="Verdana"/>
          <w:color w:val="000000"/>
          <w:sz w:val="20"/>
          <w:szCs w:val="20"/>
        </w:rPr>
        <w:t xml:space="preserve"> of the new Strategy</w:t>
      </w:r>
      <w:r w:rsidR="00156108">
        <w:rPr>
          <w:rFonts w:ascii="Verdana" w:eastAsia="Verdana" w:hAnsi="Verdana" w:cs="Verdana"/>
          <w:color w:val="000000"/>
          <w:sz w:val="20"/>
          <w:szCs w:val="20"/>
        </w:rPr>
        <w:t xml:space="preserve"> by the Verkhovna Rada of Ukraine</w:t>
      </w:r>
      <w:r>
        <w:rPr>
          <w:rFonts w:ascii="Verdana" w:eastAsia="Verdana" w:hAnsi="Verdana" w:cs="Verdana"/>
          <w:color w:val="000000"/>
          <w:sz w:val="20"/>
          <w:szCs w:val="20"/>
        </w:rPr>
        <w:t>;</w:t>
      </w:r>
    </w:p>
    <w:p w14:paraId="78694953" w14:textId="2C8F976E" w:rsidR="00F43505" w:rsidRDefault="00F43505" w:rsidP="00567ABA">
      <w:pPr>
        <w:numPr>
          <w:ilvl w:val="0"/>
          <w:numId w:val="5"/>
        </w:numPr>
        <w:pBdr>
          <w:top w:val="nil"/>
          <w:left w:val="nil"/>
          <w:bottom w:val="nil"/>
          <w:right w:val="nil"/>
          <w:between w:val="nil"/>
        </w:pBdr>
        <w:spacing w:line="360" w:lineRule="auto"/>
        <w:jc w:val="both"/>
        <w:rPr>
          <w:rFonts w:ascii="Verdana" w:hAnsi="Verdana"/>
          <w:color w:val="000000"/>
          <w:sz w:val="20"/>
          <w:szCs w:val="20"/>
        </w:rPr>
      </w:pPr>
      <w:r w:rsidRPr="00F43505">
        <w:rPr>
          <w:rFonts w:ascii="Verdana" w:hAnsi="Verdana"/>
          <w:color w:val="000000"/>
          <w:sz w:val="20"/>
          <w:szCs w:val="20"/>
        </w:rPr>
        <w:t xml:space="preserve">To ensure joint processing with the NACP of comments and proposals received as a result </w:t>
      </w:r>
      <w:r>
        <w:rPr>
          <w:rFonts w:ascii="Verdana" w:hAnsi="Verdana"/>
          <w:color w:val="000000"/>
          <w:sz w:val="20"/>
          <w:szCs w:val="20"/>
        </w:rPr>
        <w:t xml:space="preserve">              </w:t>
      </w:r>
      <w:r w:rsidRPr="00F43505">
        <w:rPr>
          <w:rFonts w:ascii="Verdana" w:hAnsi="Verdana"/>
          <w:color w:val="000000"/>
          <w:sz w:val="20"/>
          <w:szCs w:val="20"/>
        </w:rPr>
        <w:t>of public and expert discussions, as well as finalization of the analytical study and relevant proposals to the</w:t>
      </w:r>
      <w:r>
        <w:rPr>
          <w:rFonts w:ascii="Verdana" w:hAnsi="Verdana"/>
          <w:color w:val="000000"/>
          <w:sz w:val="20"/>
          <w:szCs w:val="20"/>
        </w:rPr>
        <w:t xml:space="preserve"> new Strategy and SACP;</w:t>
      </w:r>
    </w:p>
    <w:p w14:paraId="1BB1100F" w14:textId="72C1D2A8" w:rsidR="008D2354" w:rsidRDefault="008D2354" w:rsidP="00567ABA">
      <w:pPr>
        <w:pBdr>
          <w:top w:val="nil"/>
          <w:left w:val="nil"/>
          <w:bottom w:val="nil"/>
          <w:right w:val="nil"/>
          <w:between w:val="nil"/>
        </w:pBdr>
        <w:spacing w:line="360" w:lineRule="auto"/>
        <w:ind w:left="360"/>
        <w:jc w:val="both"/>
        <w:rPr>
          <w:rFonts w:ascii="Verdana" w:hAnsi="Verdana"/>
          <w:color w:val="000000"/>
          <w:sz w:val="20"/>
          <w:szCs w:val="20"/>
        </w:rPr>
      </w:pPr>
    </w:p>
    <w:p w14:paraId="3DC41758" w14:textId="77777777" w:rsidR="0077544E" w:rsidRPr="00F43505" w:rsidRDefault="0077544E" w:rsidP="00567ABA">
      <w:pPr>
        <w:pBdr>
          <w:top w:val="nil"/>
          <w:left w:val="nil"/>
          <w:bottom w:val="nil"/>
          <w:right w:val="nil"/>
          <w:between w:val="nil"/>
        </w:pBdr>
        <w:spacing w:line="360" w:lineRule="auto"/>
        <w:jc w:val="both"/>
        <w:rPr>
          <w:rFonts w:ascii="Verdana" w:hAnsi="Verdana"/>
          <w:color w:val="000000"/>
          <w:sz w:val="20"/>
          <w:szCs w:val="20"/>
        </w:rPr>
      </w:pPr>
    </w:p>
    <w:p w14:paraId="635BEA23" w14:textId="5555DC05" w:rsidR="00FF291A" w:rsidRPr="009C2479" w:rsidRDefault="00DB1BF9" w:rsidP="00567ABA">
      <w:pPr>
        <w:numPr>
          <w:ilvl w:val="0"/>
          <w:numId w:val="5"/>
        </w:num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 xml:space="preserve">To provide expert input </w:t>
      </w:r>
      <w:r w:rsidR="00C56169">
        <w:rPr>
          <w:rFonts w:ascii="Verdana" w:eastAsia="Verdana" w:hAnsi="Verdana" w:cs="Verdana"/>
          <w:color w:val="000000"/>
          <w:sz w:val="20"/>
          <w:szCs w:val="20"/>
        </w:rPr>
        <w:t xml:space="preserve">during </w:t>
      </w:r>
      <w:r>
        <w:rPr>
          <w:rFonts w:ascii="Verdana" w:eastAsia="Verdana" w:hAnsi="Verdana" w:cs="Verdana"/>
          <w:color w:val="000000"/>
          <w:sz w:val="20"/>
          <w:szCs w:val="20"/>
        </w:rPr>
        <w:t xml:space="preserve">consultations regarding related parts of the new Strategy </w:t>
      </w:r>
      <w:r w:rsidR="0054453B">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and SACP </w:t>
      </w:r>
      <w:r w:rsidRPr="00DE5029">
        <w:rPr>
          <w:rFonts w:ascii="Verdana" w:eastAsia="Verdana" w:hAnsi="Verdana" w:cs="Verdana"/>
          <w:color w:val="000000"/>
          <w:sz w:val="20"/>
          <w:szCs w:val="20"/>
        </w:rPr>
        <w:t>in oral and written format upon the request of the NACP</w:t>
      </w:r>
      <w:r w:rsidR="00156108" w:rsidRPr="006F1A68">
        <w:rPr>
          <w:rFonts w:ascii="Verdana" w:eastAsia="Verdana" w:hAnsi="Verdana" w:cs="Verdana"/>
          <w:color w:val="000000"/>
          <w:sz w:val="20"/>
          <w:szCs w:val="20"/>
        </w:rPr>
        <w:t xml:space="preserve"> during the</w:t>
      </w:r>
      <w:r w:rsidR="00C56169">
        <w:rPr>
          <w:rFonts w:ascii="Verdana" w:eastAsia="Verdana" w:hAnsi="Verdana" w:cs="Verdana"/>
          <w:color w:val="000000"/>
          <w:sz w:val="20"/>
          <w:szCs w:val="20"/>
        </w:rPr>
        <w:t xml:space="preserve"> approval </w:t>
      </w:r>
      <w:r w:rsidR="00F43505">
        <w:rPr>
          <w:rFonts w:ascii="Verdana" w:eastAsia="Verdana" w:hAnsi="Verdana" w:cs="Verdana"/>
          <w:color w:val="000000"/>
          <w:sz w:val="20"/>
          <w:szCs w:val="20"/>
        </w:rPr>
        <w:t xml:space="preserve">                and adoption </w:t>
      </w:r>
      <w:r w:rsidR="00C56169">
        <w:rPr>
          <w:rFonts w:ascii="Verdana" w:eastAsia="Verdana" w:hAnsi="Verdana" w:cs="Verdana"/>
          <w:color w:val="000000"/>
          <w:sz w:val="20"/>
          <w:szCs w:val="20"/>
        </w:rPr>
        <w:t>stage</w:t>
      </w:r>
      <w:r w:rsidR="00F43505">
        <w:rPr>
          <w:rFonts w:ascii="Verdana" w:eastAsia="Verdana" w:hAnsi="Verdana" w:cs="Verdana"/>
          <w:color w:val="000000"/>
          <w:sz w:val="20"/>
          <w:szCs w:val="20"/>
        </w:rPr>
        <w:t>s</w:t>
      </w:r>
      <w:r w:rsidR="00C56169">
        <w:rPr>
          <w:rFonts w:ascii="Verdana" w:eastAsia="Verdana" w:hAnsi="Verdana" w:cs="Verdana"/>
          <w:color w:val="000000"/>
          <w:sz w:val="20"/>
          <w:szCs w:val="20"/>
        </w:rPr>
        <w:t xml:space="preserve"> of the Strategy and SACP</w:t>
      </w:r>
      <w:r w:rsidR="00F43505">
        <w:rPr>
          <w:rFonts w:ascii="Verdana" w:eastAsia="Verdana" w:hAnsi="Verdana" w:cs="Verdana"/>
          <w:color w:val="000000"/>
          <w:sz w:val="20"/>
          <w:szCs w:val="20"/>
        </w:rPr>
        <w:t>.</w:t>
      </w:r>
      <w:bookmarkStart w:id="1" w:name="_gjdgxs" w:colFirst="0" w:colLast="0"/>
      <w:bookmarkEnd w:id="1"/>
    </w:p>
    <w:p w14:paraId="3E38A740" w14:textId="77777777" w:rsidR="0077544E" w:rsidRDefault="0077544E" w:rsidP="00567ABA">
      <w:pPr>
        <w:pBdr>
          <w:top w:val="nil"/>
          <w:left w:val="nil"/>
          <w:bottom w:val="nil"/>
          <w:right w:val="nil"/>
          <w:between w:val="nil"/>
        </w:pBdr>
        <w:spacing w:line="360" w:lineRule="auto"/>
        <w:jc w:val="both"/>
        <w:rPr>
          <w:rFonts w:ascii="Verdana" w:eastAsia="Verdana" w:hAnsi="Verdana" w:cs="Verdana"/>
          <w:bCs/>
          <w:color w:val="000000"/>
          <w:sz w:val="20"/>
          <w:szCs w:val="20"/>
        </w:rPr>
      </w:pPr>
    </w:p>
    <w:p w14:paraId="4516C966" w14:textId="780763B4" w:rsidR="00A1294F" w:rsidRPr="00A1294F" w:rsidRDefault="00A1294F" w:rsidP="00567ABA">
      <w:pPr>
        <w:pBdr>
          <w:top w:val="nil"/>
          <w:left w:val="nil"/>
          <w:bottom w:val="nil"/>
          <w:right w:val="nil"/>
          <w:between w:val="nil"/>
        </w:pBdr>
        <w:spacing w:line="360" w:lineRule="auto"/>
        <w:jc w:val="both"/>
        <w:rPr>
          <w:rFonts w:ascii="Verdana" w:eastAsia="Verdana" w:hAnsi="Verdana" w:cs="Verdana"/>
          <w:bCs/>
          <w:color w:val="000000"/>
          <w:sz w:val="20"/>
          <w:szCs w:val="20"/>
        </w:rPr>
      </w:pPr>
      <w:r w:rsidRPr="00A1294F">
        <w:rPr>
          <w:rFonts w:ascii="Verdana" w:eastAsia="Verdana" w:hAnsi="Verdana" w:cs="Verdana"/>
          <w:bCs/>
          <w:color w:val="000000"/>
          <w:sz w:val="20"/>
          <w:szCs w:val="20"/>
        </w:rPr>
        <w:t xml:space="preserve">Electronic copies of the deliverables should be sent in Ukrainian </w:t>
      </w:r>
      <w:r w:rsidR="00612072">
        <w:rPr>
          <w:rFonts w:ascii="Verdana" w:eastAsia="Verdana" w:hAnsi="Verdana" w:cs="Verdana"/>
          <w:bCs/>
          <w:color w:val="000000"/>
          <w:sz w:val="20"/>
          <w:szCs w:val="20"/>
        </w:rPr>
        <w:t xml:space="preserve">language </w:t>
      </w:r>
      <w:r w:rsidRPr="00A1294F">
        <w:rPr>
          <w:rFonts w:ascii="Verdana" w:eastAsia="Verdana" w:hAnsi="Verdana" w:cs="Verdana"/>
          <w:bCs/>
          <w:color w:val="000000"/>
          <w:sz w:val="20"/>
          <w:szCs w:val="20"/>
        </w:rPr>
        <w:t>by email to the designated EUACI contact person.</w:t>
      </w:r>
    </w:p>
    <w:p w14:paraId="2B463326" w14:textId="77777777" w:rsidR="00A1294F" w:rsidRDefault="00A1294F" w:rsidP="00567ABA">
      <w:pPr>
        <w:pBdr>
          <w:top w:val="nil"/>
          <w:left w:val="nil"/>
          <w:bottom w:val="nil"/>
          <w:right w:val="nil"/>
          <w:between w:val="nil"/>
        </w:pBdr>
        <w:spacing w:line="360" w:lineRule="auto"/>
        <w:jc w:val="both"/>
        <w:rPr>
          <w:rFonts w:ascii="Verdana" w:eastAsia="Verdana" w:hAnsi="Verdana" w:cs="Verdana"/>
          <w:b/>
          <w:color w:val="000000"/>
          <w:sz w:val="20"/>
          <w:szCs w:val="20"/>
        </w:rPr>
      </w:pPr>
    </w:p>
    <w:p w14:paraId="5467C379" w14:textId="3F36D886" w:rsidR="00567ABA" w:rsidRPr="00567ABA" w:rsidRDefault="00567ABA" w:rsidP="00567ABA">
      <w:pPr>
        <w:spacing w:line="360" w:lineRule="auto"/>
        <w:jc w:val="both"/>
        <w:rPr>
          <w:rFonts w:ascii="Verdana" w:eastAsia="Verdana" w:hAnsi="Verdana" w:cs="Verdana"/>
          <w:b/>
          <w:color w:val="000000"/>
          <w:sz w:val="20"/>
          <w:szCs w:val="20"/>
        </w:rPr>
      </w:pPr>
      <w:r w:rsidRPr="00567ABA">
        <w:rPr>
          <w:rFonts w:ascii="Verdana" w:eastAsia="Verdana" w:hAnsi="Verdana" w:cs="Verdana"/>
          <w:b/>
          <w:color w:val="000000"/>
          <w:sz w:val="20"/>
          <w:szCs w:val="20"/>
        </w:rPr>
        <w:t xml:space="preserve">When carrying out these tasks, experts should avoid assessment of Ukraine’s fulfilment of its EU and other international obligations and commitments. Experts </w:t>
      </w:r>
      <w:r>
        <w:rPr>
          <w:rFonts w:ascii="Verdana" w:eastAsia="Verdana" w:hAnsi="Verdana" w:cs="Verdana"/>
          <w:b/>
          <w:color w:val="000000"/>
          <w:sz w:val="20"/>
          <w:szCs w:val="20"/>
        </w:rPr>
        <w:t xml:space="preserve">           </w:t>
      </w:r>
      <w:r w:rsidRPr="00567ABA">
        <w:rPr>
          <w:rFonts w:ascii="Verdana" w:eastAsia="Verdana" w:hAnsi="Verdana" w:cs="Verdana"/>
          <w:b/>
          <w:color w:val="000000"/>
          <w:sz w:val="20"/>
          <w:szCs w:val="20"/>
        </w:rPr>
        <w:t xml:space="preserve">can make an overview of decisions of relevant EU and other institutions on such commitments. </w:t>
      </w:r>
    </w:p>
    <w:p w14:paraId="163F9839" w14:textId="3BD42D11" w:rsidR="00AB108E" w:rsidRDefault="00567ABA" w:rsidP="00567ABA">
      <w:pPr>
        <w:spacing w:line="360" w:lineRule="auto"/>
        <w:jc w:val="both"/>
        <w:rPr>
          <w:rFonts w:ascii="Verdana" w:eastAsia="Verdana" w:hAnsi="Verdana" w:cs="Verdana"/>
          <w:b/>
          <w:color w:val="000000"/>
          <w:sz w:val="20"/>
          <w:szCs w:val="20"/>
        </w:rPr>
      </w:pPr>
      <w:r w:rsidRPr="00567ABA">
        <w:rPr>
          <w:rFonts w:ascii="Verdana" w:eastAsia="Verdana" w:hAnsi="Verdana" w:cs="Verdana"/>
          <w:b/>
          <w:color w:val="000000"/>
          <w:sz w:val="20"/>
          <w:szCs w:val="20"/>
        </w:rPr>
        <w:t xml:space="preserve">When carrying out </w:t>
      </w:r>
      <w:r w:rsidR="00612072">
        <w:rPr>
          <w:rFonts w:ascii="Verdana" w:eastAsia="Verdana" w:hAnsi="Verdana" w:cs="Verdana"/>
          <w:b/>
          <w:color w:val="000000"/>
          <w:sz w:val="20"/>
          <w:szCs w:val="20"/>
        </w:rPr>
        <w:t>the assignment</w:t>
      </w:r>
      <w:r w:rsidRPr="00567ABA">
        <w:rPr>
          <w:rFonts w:ascii="Verdana" w:eastAsia="Verdana" w:hAnsi="Verdana" w:cs="Verdana"/>
          <w:b/>
          <w:color w:val="000000"/>
          <w:sz w:val="20"/>
          <w:szCs w:val="20"/>
        </w:rPr>
        <w:t xml:space="preserve">, the experts should provide close cooperation </w:t>
      </w:r>
      <w:r w:rsidR="000F1095">
        <w:rPr>
          <w:rFonts w:ascii="Verdana" w:eastAsia="Verdana" w:hAnsi="Verdana" w:cs="Verdana"/>
          <w:b/>
          <w:color w:val="000000"/>
          <w:sz w:val="20"/>
          <w:szCs w:val="20"/>
        </w:rPr>
        <w:t xml:space="preserve">              </w:t>
      </w:r>
      <w:r w:rsidRPr="00567ABA">
        <w:rPr>
          <w:rFonts w:ascii="Verdana" w:eastAsia="Verdana" w:hAnsi="Verdana" w:cs="Verdana"/>
          <w:b/>
          <w:color w:val="000000"/>
          <w:sz w:val="20"/>
          <w:szCs w:val="20"/>
        </w:rPr>
        <w:t xml:space="preserve">with </w:t>
      </w:r>
      <w:r w:rsidR="00612072">
        <w:rPr>
          <w:rFonts w:ascii="Verdana" w:eastAsia="Verdana" w:hAnsi="Verdana" w:cs="Verdana"/>
          <w:b/>
          <w:color w:val="000000"/>
          <w:sz w:val="20"/>
          <w:szCs w:val="20"/>
        </w:rPr>
        <w:t xml:space="preserve">the </w:t>
      </w:r>
      <w:r w:rsidRPr="00567ABA">
        <w:rPr>
          <w:rFonts w:ascii="Verdana" w:eastAsia="Verdana" w:hAnsi="Verdana" w:cs="Verdana"/>
          <w:b/>
          <w:color w:val="000000"/>
          <w:sz w:val="20"/>
          <w:szCs w:val="20"/>
        </w:rPr>
        <w:t xml:space="preserve">organization which is conducting an Analysis of main corruption risks </w:t>
      </w:r>
      <w:r w:rsidR="000F1095">
        <w:rPr>
          <w:rFonts w:ascii="Verdana" w:eastAsia="Verdana" w:hAnsi="Verdana" w:cs="Verdana"/>
          <w:b/>
          <w:color w:val="000000"/>
          <w:sz w:val="20"/>
          <w:szCs w:val="20"/>
        </w:rPr>
        <w:t xml:space="preserve">                    </w:t>
      </w:r>
      <w:r w:rsidRPr="00567ABA">
        <w:rPr>
          <w:rFonts w:ascii="Verdana" w:eastAsia="Verdana" w:hAnsi="Verdana" w:cs="Verdana"/>
          <w:b/>
          <w:color w:val="000000"/>
          <w:sz w:val="20"/>
          <w:szCs w:val="20"/>
        </w:rPr>
        <w:t xml:space="preserve">and mitigation measures in the sphere of taxation (selected by the EUACI under </w:t>
      </w:r>
      <w:r w:rsidR="000F1095">
        <w:rPr>
          <w:rFonts w:ascii="Verdana" w:eastAsia="Verdana" w:hAnsi="Verdana" w:cs="Verdana"/>
          <w:b/>
          <w:color w:val="000000"/>
          <w:sz w:val="20"/>
          <w:szCs w:val="20"/>
        </w:rPr>
        <w:t xml:space="preserve">                 </w:t>
      </w:r>
      <w:r w:rsidRPr="00567ABA">
        <w:rPr>
          <w:rFonts w:ascii="Verdana" w:eastAsia="Verdana" w:hAnsi="Verdana" w:cs="Verdana"/>
          <w:b/>
          <w:color w:val="000000"/>
          <w:sz w:val="20"/>
          <w:szCs w:val="20"/>
        </w:rPr>
        <w:t>the tender</w:t>
      </w:r>
      <w:r w:rsidR="000F1095">
        <w:rPr>
          <w:rFonts w:ascii="Verdana" w:eastAsia="Verdana" w:hAnsi="Verdana" w:cs="Verdana"/>
          <w:b/>
          <w:color w:val="000000"/>
          <w:sz w:val="20"/>
          <w:szCs w:val="20"/>
        </w:rPr>
        <w:t xml:space="preserve"> </w:t>
      </w:r>
      <w:r w:rsidRPr="00567ABA">
        <w:rPr>
          <w:rFonts w:ascii="Verdana" w:eastAsia="Verdana" w:hAnsi="Verdana" w:cs="Verdana"/>
          <w:b/>
          <w:color w:val="000000"/>
          <w:sz w:val="20"/>
          <w:szCs w:val="20"/>
        </w:rPr>
        <w:t xml:space="preserve">announced here: </w:t>
      </w:r>
      <w:hyperlink r:id="rId8" w:history="1">
        <w:r w:rsidRPr="00075021">
          <w:rPr>
            <w:rStyle w:val="Hyperlink"/>
            <w:rFonts w:ascii="Verdana" w:eastAsia="Verdana" w:hAnsi="Verdana" w:cs="Verdana"/>
            <w:b/>
            <w:sz w:val="20"/>
            <w:szCs w:val="20"/>
          </w:rPr>
          <w:t>https://euaci.eu/en/announcements/consultancy-services-to-conduct-an-analysis-of-main-corruption-risks-and-mitigation-measures-in-the-sphere-of-taxation-2/</w:t>
        </w:r>
      </w:hyperlink>
      <w:r w:rsidRPr="00567ABA">
        <w:rPr>
          <w:rFonts w:ascii="Verdana" w:eastAsia="Verdana" w:hAnsi="Verdana" w:cs="Verdana"/>
          <w:b/>
          <w:color w:val="000000"/>
          <w:sz w:val="20"/>
          <w:szCs w:val="20"/>
        </w:rPr>
        <w:t>).</w:t>
      </w:r>
      <w:r>
        <w:rPr>
          <w:rFonts w:ascii="Verdana" w:eastAsia="Verdana" w:hAnsi="Verdana" w:cs="Verdana"/>
          <w:b/>
          <w:color w:val="000000"/>
          <w:sz w:val="20"/>
          <w:szCs w:val="20"/>
        </w:rPr>
        <w:t xml:space="preserve"> </w:t>
      </w:r>
    </w:p>
    <w:p w14:paraId="76B0EBE2" w14:textId="77777777" w:rsidR="00567ABA" w:rsidRDefault="00567ABA" w:rsidP="00567ABA">
      <w:pPr>
        <w:spacing w:line="360" w:lineRule="auto"/>
        <w:jc w:val="both"/>
        <w:rPr>
          <w:color w:val="000000"/>
          <w:u w:val="single"/>
        </w:rPr>
      </w:pPr>
    </w:p>
    <w:p w14:paraId="20BF8D43" w14:textId="77777777" w:rsidR="00AB108E" w:rsidRDefault="00DB1BF9" w:rsidP="00567ABA">
      <w:pPr>
        <w:spacing w:line="360" w:lineRule="auto"/>
        <w:jc w:val="both"/>
        <w:rPr>
          <w:rFonts w:ascii="Verdana" w:eastAsia="Verdana" w:hAnsi="Verdana" w:cs="Verdana"/>
          <w:b/>
          <w:color w:val="000000"/>
          <w:sz w:val="20"/>
          <w:szCs w:val="20"/>
        </w:rPr>
      </w:pPr>
      <w:r>
        <w:rPr>
          <w:rFonts w:ascii="Verdana" w:eastAsia="Verdana" w:hAnsi="Verdana" w:cs="Verdana"/>
          <w:b/>
          <w:color w:val="000000"/>
          <w:sz w:val="20"/>
          <w:szCs w:val="20"/>
        </w:rPr>
        <w:t>Timeline:</w:t>
      </w:r>
    </w:p>
    <w:p w14:paraId="161F2E57" w14:textId="6B6160DA" w:rsidR="00A1294F" w:rsidRPr="00A1294F" w:rsidRDefault="00DB1BF9" w:rsidP="00567ABA">
      <w:pPr>
        <w:widowControl w:val="0"/>
        <w:pBdr>
          <w:top w:val="nil"/>
          <w:left w:val="nil"/>
          <w:bottom w:val="nil"/>
          <w:right w:val="nil"/>
          <w:between w:val="nil"/>
        </w:pBdr>
        <w:spacing w:line="360" w:lineRule="auto"/>
        <w:jc w:val="both"/>
        <w:rPr>
          <w:rFonts w:ascii="Verdana" w:eastAsia="Verdana" w:hAnsi="Verdana" w:cs="Verdana"/>
          <w:b/>
          <w:bCs/>
          <w:color w:val="000000"/>
          <w:sz w:val="20"/>
          <w:szCs w:val="20"/>
        </w:rPr>
      </w:pPr>
      <w:bookmarkStart w:id="2" w:name="_1fob9te" w:colFirst="0" w:colLast="0"/>
      <w:bookmarkEnd w:id="2"/>
      <w:r>
        <w:rPr>
          <w:rFonts w:ascii="Verdana" w:eastAsia="Verdana" w:hAnsi="Verdana" w:cs="Verdana"/>
          <w:color w:val="000000"/>
          <w:sz w:val="20"/>
          <w:szCs w:val="20"/>
        </w:rPr>
        <w:t xml:space="preserve">The intended commencement date is the date of signature of contracts with the selected service provider(s). </w:t>
      </w:r>
      <w:r w:rsidR="00A1294F" w:rsidRPr="00A1294F">
        <w:rPr>
          <w:rFonts w:ascii="Verdana" w:eastAsia="Verdana" w:hAnsi="Verdana" w:cs="Verdana"/>
          <w:b/>
          <w:bCs/>
          <w:color w:val="000000"/>
          <w:sz w:val="20"/>
          <w:szCs w:val="20"/>
        </w:rPr>
        <w:t>The total duration of the contract is till 30 June 2026.</w:t>
      </w:r>
    </w:p>
    <w:p w14:paraId="76867569" w14:textId="77777777" w:rsidR="00A1294F" w:rsidRDefault="00A1294F" w:rsidP="00567ABA">
      <w:pPr>
        <w:spacing w:line="360" w:lineRule="auto"/>
        <w:jc w:val="both"/>
        <w:rPr>
          <w:rFonts w:ascii="Verdana" w:eastAsia="Verdana" w:hAnsi="Verdana" w:cs="Verdana"/>
          <w:b/>
          <w:color w:val="000000"/>
          <w:sz w:val="20"/>
          <w:szCs w:val="20"/>
        </w:rPr>
      </w:pPr>
      <w:bookmarkStart w:id="3" w:name="_3znysh7" w:colFirst="0" w:colLast="0"/>
      <w:bookmarkStart w:id="4" w:name="_2et92p0" w:colFirst="0" w:colLast="0"/>
      <w:bookmarkEnd w:id="3"/>
      <w:bookmarkEnd w:id="4"/>
    </w:p>
    <w:p w14:paraId="56122057" w14:textId="75BF3A65" w:rsidR="00A1294F" w:rsidRDefault="00DB1BF9" w:rsidP="00567ABA">
      <w:pPr>
        <w:spacing w:line="360" w:lineRule="auto"/>
        <w:jc w:val="both"/>
        <w:rPr>
          <w:rFonts w:ascii="Verdana" w:eastAsia="Verdana" w:hAnsi="Verdana" w:cs="Verdana"/>
          <w:b/>
          <w:color w:val="000000"/>
          <w:sz w:val="20"/>
          <w:szCs w:val="20"/>
        </w:rPr>
      </w:pPr>
      <w:r>
        <w:rPr>
          <w:rFonts w:ascii="Verdana" w:eastAsia="Verdana" w:hAnsi="Verdana" w:cs="Verdana"/>
          <w:b/>
          <w:color w:val="000000"/>
          <w:sz w:val="20"/>
          <w:szCs w:val="20"/>
        </w:rPr>
        <w:t>Requirements to the Service Provider/s:</w:t>
      </w:r>
    </w:p>
    <w:p w14:paraId="64F382AE" w14:textId="69A6AFD1" w:rsidR="00DE5029" w:rsidRPr="006F1A68" w:rsidRDefault="00DE5029" w:rsidP="00567ABA">
      <w:pPr>
        <w:spacing w:line="360" w:lineRule="auto"/>
        <w:jc w:val="both"/>
        <w:rPr>
          <w:rFonts w:ascii="Verdana" w:eastAsia="Verdana" w:hAnsi="Verdana" w:cs="Verdana"/>
          <w:bCs/>
          <w:color w:val="000000"/>
          <w:sz w:val="20"/>
          <w:szCs w:val="20"/>
        </w:rPr>
      </w:pPr>
      <w:r w:rsidRPr="006F1A68">
        <w:rPr>
          <w:rFonts w:ascii="Verdana" w:eastAsia="Verdana" w:hAnsi="Verdana" w:cs="Verdana"/>
          <w:bCs/>
          <w:color w:val="000000"/>
          <w:sz w:val="20"/>
          <w:szCs w:val="20"/>
        </w:rPr>
        <w:t>The contract can be awarded to a team of experts or organization meeting the following criteria:</w:t>
      </w:r>
    </w:p>
    <w:p w14:paraId="40BF71FF" w14:textId="1AFC2B36" w:rsidR="00FA2591" w:rsidRPr="0077544E" w:rsidRDefault="00DE5029" w:rsidP="00567ABA">
      <w:pPr>
        <w:pStyle w:val="ListParagraph"/>
        <w:numPr>
          <w:ilvl w:val="0"/>
          <w:numId w:val="11"/>
        </w:numPr>
        <w:spacing w:line="360" w:lineRule="auto"/>
        <w:jc w:val="both"/>
        <w:rPr>
          <w:rFonts w:ascii="Verdana" w:eastAsia="Verdana" w:hAnsi="Verdana" w:cs="Verdana"/>
          <w:bCs/>
          <w:color w:val="000000"/>
          <w:sz w:val="20"/>
          <w:szCs w:val="20"/>
        </w:rPr>
      </w:pPr>
      <w:r w:rsidRPr="006F1A68">
        <w:rPr>
          <w:rFonts w:ascii="Verdana" w:eastAsia="Verdana" w:hAnsi="Verdana" w:cs="Verdana"/>
          <w:bCs/>
          <w:color w:val="000000"/>
          <w:sz w:val="20"/>
          <w:szCs w:val="20"/>
        </w:rPr>
        <w:t>Team of experts (private entrepreneurs under Ukrainian legislation) or organization                          (NGO or other legal entity under Ukrainian legislation) with at least 5 years of experience                     of analytical work (such as conducting studies and research, policy analysis, policy                   advise, etc.)</w:t>
      </w:r>
      <w:r w:rsidR="006F1A68" w:rsidRPr="006F1A68">
        <w:rPr>
          <w:rFonts w:ascii="Verdana" w:eastAsia="Verdana" w:hAnsi="Verdana" w:cs="Verdana"/>
          <w:bCs/>
          <w:color w:val="000000"/>
          <w:sz w:val="20"/>
          <w:szCs w:val="20"/>
        </w:rPr>
        <w:t>;</w:t>
      </w:r>
    </w:p>
    <w:p w14:paraId="507CAA79" w14:textId="7D9869C7" w:rsidR="0077544E" w:rsidRPr="00567ABA" w:rsidRDefault="00625506" w:rsidP="00567ABA">
      <w:pPr>
        <w:pStyle w:val="ListParagraph"/>
        <w:numPr>
          <w:ilvl w:val="0"/>
          <w:numId w:val="11"/>
        </w:numPr>
        <w:spacing w:line="360" w:lineRule="auto"/>
        <w:jc w:val="both"/>
        <w:rPr>
          <w:rFonts w:ascii="Verdana" w:eastAsia="Verdana" w:hAnsi="Verdana" w:cs="Verdana"/>
          <w:bCs/>
          <w:color w:val="000000"/>
          <w:sz w:val="20"/>
          <w:szCs w:val="20"/>
        </w:rPr>
      </w:pPr>
      <w:r>
        <w:rPr>
          <w:rFonts w:ascii="Verdana" w:eastAsia="Verdana" w:hAnsi="Verdana" w:cs="Verdana"/>
          <w:bCs/>
          <w:color w:val="000000"/>
          <w:sz w:val="20"/>
          <w:szCs w:val="20"/>
        </w:rPr>
        <w:t xml:space="preserve">Team </w:t>
      </w:r>
      <w:r w:rsidR="006F1A68" w:rsidRPr="006F1A68">
        <w:rPr>
          <w:rFonts w:ascii="Verdana" w:eastAsia="Verdana" w:hAnsi="Verdana" w:cs="Verdana"/>
          <w:bCs/>
          <w:color w:val="000000"/>
          <w:sz w:val="20"/>
          <w:szCs w:val="20"/>
        </w:rPr>
        <w:t xml:space="preserve">should include expertise in the </w:t>
      </w:r>
      <w:r w:rsidR="003F6587">
        <w:rPr>
          <w:rFonts w:ascii="Verdana" w:eastAsia="Verdana" w:hAnsi="Verdana" w:cs="Verdana"/>
          <w:bCs/>
          <w:color w:val="000000"/>
          <w:sz w:val="20"/>
          <w:szCs w:val="20"/>
        </w:rPr>
        <w:t xml:space="preserve">sphere of taxation </w:t>
      </w:r>
      <w:r w:rsidR="006F1A68" w:rsidRPr="006F1A68">
        <w:rPr>
          <w:rFonts w:ascii="Verdana" w:eastAsia="Verdana" w:hAnsi="Verdana" w:cs="Verdana"/>
          <w:bCs/>
          <w:color w:val="000000"/>
          <w:sz w:val="20"/>
          <w:szCs w:val="20"/>
        </w:rPr>
        <w:t>as well as in related legal and policy making or policy advise, including in processes of the management</w:t>
      </w:r>
      <w:r w:rsidR="00F43505">
        <w:rPr>
          <w:rFonts w:ascii="Verdana" w:eastAsia="Verdana" w:hAnsi="Verdana" w:cs="Verdana"/>
          <w:bCs/>
          <w:color w:val="000000"/>
          <w:sz w:val="20"/>
          <w:szCs w:val="20"/>
        </w:rPr>
        <w:t xml:space="preserve"> </w:t>
      </w:r>
      <w:r w:rsidR="009C2479">
        <w:rPr>
          <w:rFonts w:ascii="Verdana" w:eastAsia="Verdana" w:hAnsi="Verdana" w:cs="Verdana"/>
          <w:bCs/>
          <w:color w:val="000000"/>
          <w:sz w:val="20"/>
          <w:szCs w:val="20"/>
        </w:rPr>
        <w:t>in</w:t>
      </w:r>
      <w:r w:rsidR="006F1A68" w:rsidRPr="006F1A68">
        <w:rPr>
          <w:rFonts w:ascii="Verdana" w:eastAsia="Verdana" w:hAnsi="Verdana" w:cs="Verdana"/>
          <w:bCs/>
          <w:color w:val="000000"/>
          <w:sz w:val="20"/>
          <w:szCs w:val="20"/>
        </w:rPr>
        <w:t xml:space="preserve"> the </w:t>
      </w:r>
      <w:r w:rsidR="003F6587">
        <w:rPr>
          <w:rFonts w:ascii="Verdana" w:eastAsia="Verdana" w:hAnsi="Verdana" w:cs="Verdana"/>
          <w:bCs/>
          <w:color w:val="000000"/>
          <w:sz w:val="20"/>
          <w:szCs w:val="20"/>
        </w:rPr>
        <w:t>sphere of taxation</w:t>
      </w:r>
      <w:r w:rsidR="00F43505">
        <w:rPr>
          <w:rFonts w:ascii="Verdana" w:eastAsia="Verdana" w:hAnsi="Verdana" w:cs="Verdana"/>
          <w:bCs/>
          <w:color w:val="000000"/>
          <w:sz w:val="20"/>
          <w:szCs w:val="20"/>
        </w:rPr>
        <w:t xml:space="preserve">; </w:t>
      </w:r>
    </w:p>
    <w:p w14:paraId="6835A2A1" w14:textId="187FDD1C" w:rsidR="00625506" w:rsidRDefault="00625506" w:rsidP="00567ABA">
      <w:pPr>
        <w:pStyle w:val="ListParagraph"/>
        <w:numPr>
          <w:ilvl w:val="0"/>
          <w:numId w:val="11"/>
        </w:numPr>
        <w:spacing w:line="360" w:lineRule="auto"/>
        <w:jc w:val="both"/>
        <w:rPr>
          <w:rFonts w:ascii="Verdana" w:eastAsia="Verdana" w:hAnsi="Verdana" w:cs="Verdana"/>
          <w:bCs/>
          <w:color w:val="000000"/>
          <w:sz w:val="20"/>
          <w:szCs w:val="20"/>
        </w:rPr>
      </w:pPr>
      <w:r>
        <w:rPr>
          <w:rFonts w:ascii="Verdana" w:eastAsia="Verdana" w:hAnsi="Verdana" w:cs="Verdana"/>
          <w:bCs/>
          <w:color w:val="000000"/>
          <w:sz w:val="20"/>
          <w:szCs w:val="20"/>
        </w:rPr>
        <w:t xml:space="preserve">At least one team member shall possess expertise in </w:t>
      </w:r>
      <w:r w:rsidR="00612072">
        <w:rPr>
          <w:rFonts w:ascii="Verdana" w:eastAsia="Verdana" w:hAnsi="Verdana" w:cs="Verdana"/>
          <w:bCs/>
          <w:color w:val="000000"/>
          <w:sz w:val="20"/>
          <w:szCs w:val="20"/>
        </w:rPr>
        <w:t xml:space="preserve">the </w:t>
      </w:r>
      <w:r>
        <w:rPr>
          <w:rFonts w:ascii="Verdana" w:eastAsia="Verdana" w:hAnsi="Verdana" w:cs="Verdana"/>
          <w:bCs/>
          <w:color w:val="000000"/>
          <w:sz w:val="20"/>
          <w:szCs w:val="20"/>
        </w:rPr>
        <w:t xml:space="preserve">anticorruption area, including but not limited to corruption risk assessment; </w:t>
      </w:r>
    </w:p>
    <w:p w14:paraId="4C96C5A4" w14:textId="4F29066F" w:rsidR="00567ABA" w:rsidRDefault="00567ABA" w:rsidP="00567ABA">
      <w:pPr>
        <w:pStyle w:val="ListParagraph"/>
        <w:spacing w:line="360" w:lineRule="auto"/>
        <w:ind w:left="360"/>
        <w:jc w:val="both"/>
        <w:rPr>
          <w:rFonts w:ascii="Verdana" w:eastAsia="Verdana" w:hAnsi="Verdana" w:cs="Verdana"/>
          <w:bCs/>
          <w:color w:val="000000"/>
          <w:sz w:val="20"/>
          <w:szCs w:val="20"/>
        </w:rPr>
      </w:pPr>
    </w:p>
    <w:p w14:paraId="73E8B2B4" w14:textId="77777777" w:rsidR="00567ABA" w:rsidRPr="006F1A68" w:rsidRDefault="00567ABA" w:rsidP="00567ABA">
      <w:pPr>
        <w:pStyle w:val="ListParagraph"/>
        <w:spacing w:line="360" w:lineRule="auto"/>
        <w:ind w:left="360"/>
        <w:jc w:val="both"/>
        <w:rPr>
          <w:rFonts w:ascii="Verdana" w:eastAsia="Verdana" w:hAnsi="Verdana" w:cs="Verdana"/>
          <w:bCs/>
          <w:color w:val="000000"/>
          <w:sz w:val="20"/>
          <w:szCs w:val="20"/>
        </w:rPr>
      </w:pPr>
    </w:p>
    <w:p w14:paraId="3F712022" w14:textId="4732A310" w:rsidR="006F1A68" w:rsidRPr="006F1A68" w:rsidRDefault="006F1A68" w:rsidP="00567ABA">
      <w:pPr>
        <w:pStyle w:val="ListParagraph"/>
        <w:numPr>
          <w:ilvl w:val="0"/>
          <w:numId w:val="11"/>
        </w:numPr>
        <w:spacing w:line="360" w:lineRule="auto"/>
        <w:jc w:val="both"/>
        <w:rPr>
          <w:rFonts w:ascii="Verdana" w:eastAsia="Verdana" w:hAnsi="Verdana" w:cs="Verdana"/>
          <w:bCs/>
          <w:color w:val="000000"/>
          <w:sz w:val="20"/>
          <w:szCs w:val="20"/>
        </w:rPr>
      </w:pPr>
      <w:r w:rsidRPr="006F1A68">
        <w:rPr>
          <w:rFonts w:ascii="Verdana" w:eastAsia="Verdana" w:hAnsi="Verdana" w:cs="Verdana"/>
          <w:bCs/>
          <w:color w:val="000000"/>
          <w:sz w:val="20"/>
          <w:szCs w:val="20"/>
        </w:rPr>
        <w:t xml:space="preserve">Profound sense and personal culture of integrity; </w:t>
      </w:r>
    </w:p>
    <w:p w14:paraId="6215E3AA" w14:textId="0980712D" w:rsidR="00F43505" w:rsidRDefault="006F1A68" w:rsidP="00567ABA">
      <w:pPr>
        <w:pStyle w:val="ListParagraph"/>
        <w:numPr>
          <w:ilvl w:val="0"/>
          <w:numId w:val="11"/>
        </w:numPr>
        <w:spacing w:line="360" w:lineRule="auto"/>
        <w:jc w:val="both"/>
        <w:rPr>
          <w:rFonts w:ascii="Verdana" w:eastAsia="Verdana" w:hAnsi="Verdana" w:cs="Verdana"/>
          <w:bCs/>
          <w:color w:val="000000"/>
          <w:sz w:val="20"/>
          <w:szCs w:val="20"/>
        </w:rPr>
      </w:pPr>
      <w:r w:rsidRPr="006F1A68">
        <w:rPr>
          <w:rFonts w:ascii="Verdana" w:eastAsia="Verdana" w:hAnsi="Verdana" w:cs="Verdana"/>
          <w:bCs/>
          <w:color w:val="000000"/>
          <w:sz w:val="20"/>
          <w:szCs w:val="20"/>
        </w:rPr>
        <w:t>Excellent written and oral communication skills in Ukrainian.</w:t>
      </w:r>
    </w:p>
    <w:p w14:paraId="37067B4F" w14:textId="77777777" w:rsidR="00AC34A8" w:rsidRDefault="00AC34A8" w:rsidP="00567ABA">
      <w:pPr>
        <w:spacing w:line="360" w:lineRule="auto"/>
        <w:jc w:val="both"/>
        <w:rPr>
          <w:rFonts w:ascii="Verdana" w:eastAsia="Verdana" w:hAnsi="Verdana" w:cs="Verdana"/>
          <w:color w:val="000000"/>
          <w:sz w:val="20"/>
          <w:szCs w:val="20"/>
          <w:u w:val="single"/>
        </w:rPr>
      </w:pPr>
    </w:p>
    <w:p w14:paraId="0F868013" w14:textId="6CEC0EF3" w:rsidR="00AB108E" w:rsidRDefault="00DB1BF9" w:rsidP="00567ABA">
      <w:pPr>
        <w:spacing w:line="360" w:lineRule="auto"/>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Special requirements:</w:t>
      </w:r>
    </w:p>
    <w:p w14:paraId="35EC0ABB" w14:textId="77777777" w:rsidR="00AB108E" w:rsidRDefault="00DB1BF9" w:rsidP="00567ABA">
      <w:pPr>
        <w:spacing w:line="360" w:lineRule="auto"/>
        <w:jc w:val="both"/>
        <w:rPr>
          <w:rFonts w:ascii="Verdana" w:eastAsia="Verdana" w:hAnsi="Verdana" w:cs="Verdana"/>
          <w:color w:val="000000"/>
          <w:sz w:val="20"/>
          <w:szCs w:val="20"/>
        </w:rPr>
      </w:pPr>
      <w:bookmarkStart w:id="5" w:name="_tyjcwt" w:colFirst="0" w:colLast="0"/>
      <w:bookmarkEnd w:id="5"/>
      <w:r>
        <w:rPr>
          <w:rFonts w:ascii="Verdana" w:eastAsia="Verdana" w:hAnsi="Verdana" w:cs="Verdana"/>
          <w:color w:val="000000"/>
          <w:sz w:val="20"/>
          <w:szCs w:val="20"/>
        </w:rPr>
        <w:t>By signing the contracts, the contractors agree to hold in trust and confidence any information or documents ("confidential information"), disclosed to the contractor or discovered by the contractor or prepared by the contractors in the course of or as a result of the implementation of the contracts and agrees that it shall be used only for the purposes of the contract implementation and shall not be disclosed to any third party without EUACI and NACP authorisation.</w:t>
      </w:r>
    </w:p>
    <w:p w14:paraId="3B6479C2" w14:textId="77777777" w:rsidR="00AB108E" w:rsidRDefault="00AB108E" w:rsidP="00567ABA">
      <w:pPr>
        <w:spacing w:line="360" w:lineRule="auto"/>
        <w:jc w:val="both"/>
        <w:rPr>
          <w:rFonts w:ascii="Verdana" w:eastAsia="Verdana" w:hAnsi="Verdana" w:cs="Verdana"/>
          <w:color w:val="000000"/>
          <w:sz w:val="20"/>
          <w:szCs w:val="20"/>
        </w:rPr>
      </w:pPr>
    </w:p>
    <w:p w14:paraId="189FC871" w14:textId="77777777" w:rsidR="00AB108E" w:rsidRDefault="00DB1BF9" w:rsidP="00567ABA">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Contractors will report to the EUACI. Contractors shall de-brief the EUACI prior to finalising the assignment. </w:t>
      </w:r>
    </w:p>
    <w:p w14:paraId="72C4D6BB" w14:textId="77777777" w:rsidR="00F50413" w:rsidRPr="00F50413" w:rsidRDefault="00F50413" w:rsidP="00567ABA">
      <w:pPr>
        <w:spacing w:line="360" w:lineRule="auto"/>
        <w:rPr>
          <w:rFonts w:eastAsia="Verdana"/>
        </w:rPr>
      </w:pPr>
    </w:p>
    <w:p w14:paraId="61D2EEC5" w14:textId="77777777" w:rsidR="00AB108E" w:rsidRDefault="00DB1BF9" w:rsidP="00567ABA">
      <w:pPr>
        <w:pStyle w:val="Heading1"/>
        <w:spacing w:before="0" w:after="0" w:line="360" w:lineRule="auto"/>
        <w:rPr>
          <w:rFonts w:ascii="Verdana" w:eastAsia="Verdana" w:hAnsi="Verdana" w:cs="Verdana"/>
          <w:color w:val="000000"/>
          <w:sz w:val="20"/>
          <w:szCs w:val="20"/>
        </w:rPr>
      </w:pPr>
      <w:r>
        <w:rPr>
          <w:rFonts w:ascii="Verdana" w:eastAsia="Verdana" w:hAnsi="Verdana" w:cs="Verdana"/>
          <w:color w:val="000000"/>
          <w:sz w:val="20"/>
          <w:szCs w:val="20"/>
        </w:rPr>
        <w:t>Bidding details:</w:t>
      </w:r>
    </w:p>
    <w:p w14:paraId="741EE6DC" w14:textId="2BB499A0" w:rsidR="00AB108E" w:rsidRDefault="00DB1BF9" w:rsidP="00567ABA">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bidder must submit </w:t>
      </w:r>
      <w:r w:rsidR="00CA7831">
        <w:rPr>
          <w:rFonts w:ascii="Verdana" w:eastAsia="Verdana" w:hAnsi="Verdana" w:cs="Verdana"/>
          <w:color w:val="000000"/>
          <w:sz w:val="20"/>
          <w:szCs w:val="20"/>
        </w:rPr>
        <w:t xml:space="preserve">1 application with </w:t>
      </w:r>
      <w:r>
        <w:rPr>
          <w:rFonts w:ascii="Verdana" w:eastAsia="Verdana" w:hAnsi="Verdana" w:cs="Verdana"/>
          <w:color w:val="000000"/>
          <w:sz w:val="20"/>
          <w:szCs w:val="20"/>
        </w:rPr>
        <w:t>the following information to be considered:</w:t>
      </w:r>
    </w:p>
    <w:p w14:paraId="608B8A52" w14:textId="3EFB8613" w:rsidR="00AB108E" w:rsidRDefault="00DB1BF9" w:rsidP="00567ABA">
      <w:pPr>
        <w:numPr>
          <w:ilvl w:val="0"/>
          <w:numId w:val="3"/>
        </w:num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CV (max. 3 pages)</w:t>
      </w:r>
      <w:r w:rsidR="00625506">
        <w:rPr>
          <w:rFonts w:ascii="Verdana" w:eastAsia="Verdana" w:hAnsi="Verdana" w:cs="Verdana"/>
          <w:color w:val="000000"/>
          <w:sz w:val="20"/>
          <w:szCs w:val="20"/>
        </w:rPr>
        <w:t xml:space="preserve"> of each expert included in the joint application.</w:t>
      </w:r>
    </w:p>
    <w:p w14:paraId="64464421" w14:textId="525367C9" w:rsidR="00AB108E" w:rsidRDefault="00DB1BF9" w:rsidP="00567ABA">
      <w:pPr>
        <w:numPr>
          <w:ilvl w:val="0"/>
          <w:numId w:val="3"/>
        </w:num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A list of assignments related to the sphere of research executed during the last five years</w:t>
      </w:r>
      <w:r w:rsidR="00625506">
        <w:rPr>
          <w:rFonts w:ascii="Verdana" w:eastAsia="Verdana" w:hAnsi="Verdana" w:cs="Verdana"/>
          <w:color w:val="000000"/>
          <w:sz w:val="20"/>
          <w:szCs w:val="20"/>
        </w:rPr>
        <w:t xml:space="preserve"> conducted by the organization or group of experts.</w:t>
      </w:r>
    </w:p>
    <w:p w14:paraId="76B085BE" w14:textId="32AC4FEA" w:rsidR="00AB108E" w:rsidRDefault="00DB1BF9" w:rsidP="00567ABA">
      <w:pPr>
        <w:numPr>
          <w:ilvl w:val="0"/>
          <w:numId w:val="3"/>
        </w:num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 xml:space="preserve">At least one example of analytical paper, study, report or other similar document prepared                            by experts </w:t>
      </w:r>
      <w:r w:rsidR="009C2479">
        <w:rPr>
          <w:rFonts w:ascii="Verdana" w:eastAsia="Verdana" w:hAnsi="Verdana" w:cs="Verdana"/>
          <w:color w:val="000000"/>
          <w:sz w:val="20"/>
          <w:szCs w:val="20"/>
        </w:rPr>
        <w:t xml:space="preserve">in the </w:t>
      </w:r>
      <w:r w:rsidR="003F6587">
        <w:rPr>
          <w:rFonts w:ascii="Verdana" w:eastAsia="Verdana" w:hAnsi="Verdana" w:cs="Verdana"/>
          <w:color w:val="000000"/>
          <w:sz w:val="20"/>
          <w:szCs w:val="20"/>
        </w:rPr>
        <w:t>sphere of taxation</w:t>
      </w:r>
      <w:r>
        <w:rPr>
          <w:rFonts w:ascii="Verdana" w:eastAsia="Verdana" w:hAnsi="Verdana" w:cs="Verdana"/>
          <w:color w:val="000000"/>
          <w:sz w:val="20"/>
          <w:szCs w:val="20"/>
        </w:rPr>
        <w:t xml:space="preserve">. </w:t>
      </w:r>
    </w:p>
    <w:p w14:paraId="7CE35373" w14:textId="1D3DCAA3" w:rsidR="00CA7831" w:rsidRPr="00625506" w:rsidRDefault="00DB1BF9" w:rsidP="00567ABA">
      <w:pPr>
        <w:numPr>
          <w:ilvl w:val="0"/>
          <w:numId w:val="3"/>
        </w:num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A financial offer (including experts’ fees per day and number of days for each expert).</w:t>
      </w:r>
    </w:p>
    <w:p w14:paraId="66938037" w14:textId="32FABCC4" w:rsidR="00625506" w:rsidRPr="003C05BD" w:rsidRDefault="00625506" w:rsidP="00567ABA">
      <w:pPr>
        <w:numPr>
          <w:ilvl w:val="0"/>
          <w:numId w:val="3"/>
        </w:num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A proposal describing distribution of work in the team.</w:t>
      </w:r>
    </w:p>
    <w:p w14:paraId="58287827" w14:textId="23965EEA" w:rsidR="003C05BD" w:rsidRDefault="003C05BD" w:rsidP="00567ABA">
      <w:pPr>
        <w:pBdr>
          <w:top w:val="nil"/>
          <w:left w:val="nil"/>
          <w:bottom w:val="nil"/>
          <w:right w:val="nil"/>
          <w:between w:val="nil"/>
        </w:pBdr>
        <w:spacing w:line="360" w:lineRule="auto"/>
        <w:jc w:val="both"/>
        <w:rPr>
          <w:rFonts w:ascii="Verdana" w:eastAsia="Verdana" w:hAnsi="Verdana" w:cs="Verdana"/>
          <w:color w:val="000000"/>
          <w:sz w:val="20"/>
          <w:szCs w:val="20"/>
        </w:rPr>
      </w:pPr>
    </w:p>
    <w:p w14:paraId="46DC503C" w14:textId="77777777" w:rsidR="003C05BD" w:rsidRPr="003C05BD" w:rsidRDefault="003C05BD" w:rsidP="00567ABA">
      <w:pPr>
        <w:widowControl w:val="0"/>
        <w:pBdr>
          <w:top w:val="nil"/>
          <w:left w:val="nil"/>
          <w:bottom w:val="nil"/>
          <w:right w:val="nil"/>
          <w:between w:val="nil"/>
        </w:pBdr>
        <w:spacing w:line="360" w:lineRule="auto"/>
        <w:jc w:val="both"/>
        <w:rPr>
          <w:rFonts w:ascii="Verdana" w:eastAsia="Verdana" w:hAnsi="Verdana" w:cs="Verdana"/>
          <w:b/>
          <w:bCs/>
          <w:sz w:val="20"/>
          <w:szCs w:val="20"/>
        </w:rPr>
      </w:pPr>
      <w:r w:rsidRPr="003C05BD">
        <w:rPr>
          <w:rFonts w:ascii="Verdana" w:eastAsia="Verdana" w:hAnsi="Verdana" w:cs="Verdana"/>
          <w:b/>
          <w:bCs/>
          <w:sz w:val="20"/>
          <w:szCs w:val="20"/>
        </w:rPr>
        <w:t>All documents should be merged into 1 file in PDF or Word format for submission</w:t>
      </w:r>
      <w:r>
        <w:rPr>
          <w:rFonts w:ascii="Verdana" w:eastAsia="Verdana" w:hAnsi="Verdana" w:cs="Verdana"/>
          <w:b/>
          <w:bCs/>
          <w:sz w:val="20"/>
          <w:szCs w:val="20"/>
        </w:rPr>
        <w:t xml:space="preserve">                        of application</w:t>
      </w:r>
      <w:r w:rsidRPr="003C05BD">
        <w:rPr>
          <w:rFonts w:ascii="Verdana" w:eastAsia="Verdana" w:hAnsi="Verdana" w:cs="Verdana"/>
          <w:b/>
          <w:bCs/>
          <w:sz w:val="20"/>
          <w:szCs w:val="20"/>
        </w:rPr>
        <w:t>.</w:t>
      </w:r>
    </w:p>
    <w:p w14:paraId="5FAF1BC3" w14:textId="77777777" w:rsidR="00AB108E" w:rsidRDefault="00AB108E" w:rsidP="00567ABA">
      <w:pPr>
        <w:pBdr>
          <w:top w:val="nil"/>
          <w:left w:val="nil"/>
          <w:bottom w:val="nil"/>
          <w:right w:val="nil"/>
          <w:between w:val="nil"/>
        </w:pBdr>
        <w:spacing w:line="360" w:lineRule="auto"/>
        <w:jc w:val="both"/>
        <w:rPr>
          <w:rFonts w:ascii="Verdana" w:eastAsia="Verdana" w:hAnsi="Verdana" w:cs="Verdana"/>
          <w:b/>
          <w:color w:val="000000"/>
          <w:sz w:val="20"/>
          <w:szCs w:val="20"/>
        </w:rPr>
      </w:pPr>
    </w:p>
    <w:p w14:paraId="5BC8FAB4" w14:textId="77777777" w:rsidR="00AB108E" w:rsidRDefault="00DB1BF9" w:rsidP="00567ABA">
      <w:pPr>
        <w:pBdr>
          <w:top w:val="nil"/>
          <w:left w:val="nil"/>
          <w:bottom w:val="nil"/>
          <w:right w:val="nil"/>
          <w:between w:val="nil"/>
        </w:pBdr>
        <w:spacing w:line="360" w:lineRule="auto"/>
        <w:jc w:val="both"/>
        <w:rPr>
          <w:rFonts w:ascii="Verdana" w:eastAsia="Verdana" w:hAnsi="Verdana" w:cs="Verdana"/>
          <w:b/>
          <w:color w:val="000000"/>
          <w:sz w:val="20"/>
          <w:szCs w:val="20"/>
        </w:rPr>
      </w:pPr>
      <w:r>
        <w:rPr>
          <w:rFonts w:ascii="Verdana" w:eastAsia="Verdana" w:hAnsi="Verdana" w:cs="Verdana"/>
          <w:b/>
          <w:color w:val="000000"/>
          <w:sz w:val="20"/>
          <w:szCs w:val="20"/>
        </w:rPr>
        <w:t>Budget:</w:t>
      </w:r>
    </w:p>
    <w:p w14:paraId="29EF4B0D" w14:textId="7FD45162" w:rsidR="003C05BD" w:rsidRDefault="00DB1BF9" w:rsidP="00567ABA">
      <w:pPr>
        <w:pBdr>
          <w:top w:val="nil"/>
          <w:left w:val="nil"/>
          <w:bottom w:val="nil"/>
          <w:right w:val="nil"/>
          <w:between w:val="nil"/>
        </w:pBdr>
        <w:spacing w:line="360" w:lineRule="auto"/>
        <w:jc w:val="both"/>
        <w:rPr>
          <w:rFonts w:ascii="Verdana" w:eastAsia="Verdana" w:hAnsi="Verdana" w:cs="Verdana"/>
          <w:b/>
          <w:color w:val="000000"/>
          <w:sz w:val="20"/>
          <w:szCs w:val="20"/>
        </w:rPr>
      </w:pPr>
      <w:r>
        <w:rPr>
          <w:rFonts w:ascii="Verdana" w:eastAsia="Verdana" w:hAnsi="Verdana" w:cs="Verdana"/>
          <w:color w:val="000000"/>
          <w:sz w:val="20"/>
          <w:szCs w:val="20"/>
        </w:rPr>
        <w:t xml:space="preserve">The total contract </w:t>
      </w:r>
      <w:r w:rsidR="00CA7831">
        <w:rPr>
          <w:rFonts w:ascii="Verdana" w:eastAsia="Verdana" w:hAnsi="Verdana" w:cs="Verdana"/>
          <w:color w:val="000000"/>
          <w:sz w:val="20"/>
          <w:szCs w:val="20"/>
        </w:rPr>
        <w:t>budget cannot</w:t>
      </w:r>
      <w:r>
        <w:rPr>
          <w:rFonts w:ascii="Verdana" w:eastAsia="Verdana" w:hAnsi="Verdana" w:cs="Verdana"/>
          <w:color w:val="000000"/>
          <w:sz w:val="20"/>
          <w:szCs w:val="20"/>
        </w:rPr>
        <w:t xml:space="preserve"> exceed</w:t>
      </w:r>
      <w:r>
        <w:rPr>
          <w:rFonts w:ascii="Verdana" w:eastAsia="Verdana" w:hAnsi="Verdana" w:cs="Verdana"/>
          <w:b/>
          <w:color w:val="000000"/>
          <w:sz w:val="20"/>
          <w:szCs w:val="20"/>
        </w:rPr>
        <w:t xml:space="preserve"> EUR 30,000</w:t>
      </w:r>
      <w:r w:rsidR="00625506">
        <w:rPr>
          <w:rFonts w:ascii="Verdana" w:eastAsia="Verdana" w:hAnsi="Verdana" w:cs="Verdana"/>
          <w:b/>
          <w:color w:val="000000"/>
          <w:sz w:val="20"/>
          <w:szCs w:val="20"/>
        </w:rPr>
        <w:t>.</w:t>
      </w:r>
    </w:p>
    <w:p w14:paraId="0F43158A" w14:textId="77777777" w:rsidR="00567ABA" w:rsidRPr="00567ABA" w:rsidRDefault="00567ABA" w:rsidP="00567ABA">
      <w:pPr>
        <w:pBdr>
          <w:top w:val="nil"/>
          <w:left w:val="nil"/>
          <w:bottom w:val="nil"/>
          <w:right w:val="nil"/>
          <w:between w:val="nil"/>
        </w:pBdr>
        <w:spacing w:line="360" w:lineRule="auto"/>
        <w:jc w:val="both"/>
        <w:rPr>
          <w:color w:val="000000"/>
          <w:sz w:val="20"/>
          <w:szCs w:val="20"/>
        </w:rPr>
      </w:pPr>
    </w:p>
    <w:p w14:paraId="564725D3" w14:textId="0CFEE6F7" w:rsidR="00AB108E" w:rsidRDefault="00DB1BF9" w:rsidP="00567ABA">
      <w:pPr>
        <w:pStyle w:val="Heading1"/>
        <w:spacing w:before="0"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How to apply:</w:t>
      </w:r>
    </w:p>
    <w:p w14:paraId="0282FF00" w14:textId="6C2C3C04" w:rsidR="00AB108E" w:rsidRPr="0054453B" w:rsidRDefault="00DB1BF9" w:rsidP="00567ABA">
      <w:pPr>
        <w:widowControl w:val="0"/>
        <w:pBdr>
          <w:top w:val="nil"/>
          <w:left w:val="nil"/>
          <w:bottom w:val="nil"/>
          <w:right w:val="nil"/>
          <w:between w:val="nil"/>
        </w:pBdr>
        <w:spacing w:line="360" w:lineRule="auto"/>
        <w:jc w:val="both"/>
        <w:rPr>
          <w:rFonts w:ascii="Verdana" w:eastAsia="Verdana" w:hAnsi="Verdana" w:cs="Verdana"/>
          <w:color w:val="000000"/>
          <w:sz w:val="20"/>
          <w:szCs w:val="20"/>
        </w:rPr>
      </w:pPr>
      <w:bookmarkStart w:id="6" w:name="_3dy6vkm" w:colFirst="0" w:colLast="0"/>
      <w:bookmarkEnd w:id="6"/>
      <w:r>
        <w:rPr>
          <w:rFonts w:ascii="Verdana" w:eastAsia="Verdana" w:hAnsi="Verdana" w:cs="Verdana"/>
          <w:color w:val="000000"/>
          <w:sz w:val="20"/>
          <w:szCs w:val="20"/>
        </w:rPr>
        <w:t xml:space="preserve">The deadline for submitting the </w:t>
      </w:r>
      <w:r w:rsidRPr="0054453B">
        <w:rPr>
          <w:rFonts w:ascii="Verdana" w:eastAsia="Verdana" w:hAnsi="Verdana" w:cs="Verdana"/>
          <w:color w:val="000000"/>
          <w:sz w:val="20"/>
          <w:szCs w:val="20"/>
        </w:rPr>
        <w:t xml:space="preserve">proposals </w:t>
      </w:r>
      <w:r w:rsidRPr="0054453B">
        <w:rPr>
          <w:rFonts w:ascii="Verdana" w:eastAsia="Verdana" w:hAnsi="Verdana" w:cs="Verdana"/>
          <w:b/>
          <w:color w:val="000000"/>
          <w:sz w:val="20"/>
          <w:szCs w:val="20"/>
        </w:rPr>
        <w:t xml:space="preserve">is </w:t>
      </w:r>
      <w:r w:rsidR="00CA7831">
        <w:rPr>
          <w:rFonts w:ascii="Verdana" w:eastAsia="Verdana" w:hAnsi="Verdana" w:cs="Verdana"/>
          <w:b/>
          <w:color w:val="000000"/>
          <w:sz w:val="20"/>
          <w:szCs w:val="20"/>
        </w:rPr>
        <w:t>2</w:t>
      </w:r>
      <w:r w:rsidR="000F1095">
        <w:rPr>
          <w:rFonts w:ascii="Verdana" w:eastAsia="Verdana" w:hAnsi="Verdana" w:cs="Verdana"/>
          <w:b/>
          <w:color w:val="000000"/>
          <w:sz w:val="20"/>
          <w:szCs w:val="20"/>
        </w:rPr>
        <w:t>4</w:t>
      </w:r>
      <w:r w:rsidR="0054453B" w:rsidRPr="0054453B">
        <w:rPr>
          <w:rFonts w:ascii="Verdana" w:eastAsia="Verdana" w:hAnsi="Verdana" w:cs="Verdana"/>
          <w:b/>
          <w:color w:val="000000"/>
          <w:sz w:val="20"/>
          <w:szCs w:val="20"/>
        </w:rPr>
        <w:t xml:space="preserve"> February</w:t>
      </w:r>
      <w:r w:rsidRPr="0054453B">
        <w:rPr>
          <w:rFonts w:ascii="Verdana" w:eastAsia="Verdana" w:hAnsi="Verdana" w:cs="Verdana"/>
          <w:b/>
          <w:color w:val="000000"/>
          <w:sz w:val="20"/>
          <w:szCs w:val="20"/>
        </w:rPr>
        <w:t xml:space="preserve"> 2025, 18:00 Kyiv time.</w:t>
      </w:r>
      <w:r w:rsidRPr="0054453B">
        <w:rPr>
          <w:rFonts w:ascii="Verdana" w:eastAsia="Verdana" w:hAnsi="Verdana" w:cs="Verdana"/>
          <w:color w:val="000000"/>
          <w:sz w:val="20"/>
          <w:szCs w:val="20"/>
        </w:rPr>
        <w:t xml:space="preserve"> </w:t>
      </w:r>
    </w:p>
    <w:p w14:paraId="0D331537" w14:textId="77777777" w:rsidR="00FA2591" w:rsidRDefault="00FA2591" w:rsidP="00567ABA">
      <w:pPr>
        <w:widowControl w:val="0"/>
        <w:pBdr>
          <w:top w:val="nil"/>
          <w:left w:val="nil"/>
          <w:bottom w:val="nil"/>
          <w:right w:val="nil"/>
          <w:between w:val="nil"/>
        </w:pBdr>
        <w:spacing w:line="360" w:lineRule="auto"/>
        <w:jc w:val="both"/>
        <w:rPr>
          <w:rFonts w:ascii="Verdana" w:eastAsia="Verdana" w:hAnsi="Verdana" w:cs="Verdana"/>
          <w:color w:val="000000"/>
          <w:sz w:val="20"/>
          <w:szCs w:val="20"/>
        </w:rPr>
      </w:pPr>
    </w:p>
    <w:p w14:paraId="6B1CBA7D" w14:textId="77777777" w:rsidR="00567ABA" w:rsidRDefault="00567ABA" w:rsidP="00567ABA">
      <w:pPr>
        <w:widowControl w:val="0"/>
        <w:pBdr>
          <w:top w:val="nil"/>
          <w:left w:val="nil"/>
          <w:bottom w:val="nil"/>
          <w:right w:val="nil"/>
          <w:between w:val="nil"/>
        </w:pBdr>
        <w:spacing w:line="360" w:lineRule="auto"/>
        <w:jc w:val="both"/>
        <w:rPr>
          <w:rFonts w:ascii="Verdana" w:eastAsia="Verdana" w:hAnsi="Verdana" w:cs="Verdana"/>
          <w:color w:val="000000"/>
          <w:sz w:val="20"/>
          <w:szCs w:val="20"/>
        </w:rPr>
      </w:pPr>
    </w:p>
    <w:p w14:paraId="767D5353" w14:textId="136A2BBD" w:rsidR="00AB108E" w:rsidRDefault="00DB1BF9" w:rsidP="00567ABA">
      <w:pPr>
        <w:widowControl w:val="0"/>
        <w:pBdr>
          <w:top w:val="nil"/>
          <w:left w:val="nil"/>
          <w:bottom w:val="nil"/>
          <w:right w:val="nil"/>
          <w:between w:val="nil"/>
        </w:pBdr>
        <w:spacing w:line="360" w:lineRule="auto"/>
        <w:jc w:val="both"/>
        <w:rPr>
          <w:rFonts w:ascii="Verdana" w:eastAsia="Verdana" w:hAnsi="Verdana" w:cs="Verdana"/>
          <w:sz w:val="20"/>
          <w:szCs w:val="20"/>
        </w:rPr>
      </w:pPr>
      <w:r w:rsidRPr="0054453B">
        <w:rPr>
          <w:rFonts w:ascii="Verdana" w:eastAsia="Verdana" w:hAnsi="Verdana" w:cs="Verdana"/>
          <w:color w:val="000000"/>
          <w:sz w:val="20"/>
          <w:szCs w:val="20"/>
        </w:rPr>
        <w:t xml:space="preserve">The proposals shall be submitted within the above deadline </w:t>
      </w:r>
      <w:r w:rsidRPr="0054453B">
        <w:rPr>
          <w:rFonts w:ascii="Verdana" w:eastAsia="Verdana" w:hAnsi="Verdana" w:cs="Verdana"/>
          <w:sz w:val="20"/>
          <w:szCs w:val="20"/>
        </w:rPr>
        <w:t xml:space="preserve">to </w:t>
      </w:r>
      <w:hyperlink r:id="rId9">
        <w:r w:rsidRPr="0054453B">
          <w:rPr>
            <w:rFonts w:ascii="Verdana" w:eastAsia="Verdana" w:hAnsi="Verdana" w:cs="Verdana"/>
            <w:color w:val="000000"/>
            <w:sz w:val="20"/>
            <w:szCs w:val="20"/>
            <w:u w:val="single"/>
          </w:rPr>
          <w:t>euaci@um.dk</w:t>
        </w:r>
      </w:hyperlink>
      <w:r w:rsidRPr="0054453B">
        <w:rPr>
          <w:rFonts w:ascii="Verdana" w:eastAsia="Verdana" w:hAnsi="Verdana" w:cs="Verdana"/>
          <w:sz w:val="20"/>
          <w:szCs w:val="20"/>
        </w:rPr>
        <w:t xml:space="preserve"> and </w:t>
      </w:r>
      <w:hyperlink r:id="rId10">
        <w:r w:rsidRPr="0054453B">
          <w:rPr>
            <w:rFonts w:ascii="Verdana" w:eastAsia="Verdana" w:hAnsi="Verdana" w:cs="Verdana"/>
            <w:color w:val="000000"/>
            <w:sz w:val="20"/>
            <w:szCs w:val="20"/>
            <w:u w:val="single"/>
          </w:rPr>
          <w:t>ievrom@um.dk</w:t>
        </w:r>
      </w:hyperlink>
      <w:r w:rsidRPr="0054453B">
        <w:rPr>
          <w:rFonts w:ascii="Verdana" w:eastAsia="Verdana" w:hAnsi="Verdana" w:cs="Verdana"/>
          <w:sz w:val="20"/>
          <w:szCs w:val="20"/>
          <w:u w:val="single"/>
        </w:rPr>
        <w:t xml:space="preserve"> </w:t>
      </w:r>
      <w:r w:rsidRPr="0054453B">
        <w:rPr>
          <w:rFonts w:ascii="Verdana" w:eastAsia="Verdana" w:hAnsi="Verdana" w:cs="Verdana"/>
          <w:sz w:val="20"/>
          <w:szCs w:val="20"/>
        </w:rPr>
        <w:t xml:space="preserve"> indicating the subject line “Tender: “</w:t>
      </w:r>
      <w:r w:rsidR="00CA7831" w:rsidRPr="00CA7831">
        <w:rPr>
          <w:rFonts w:ascii="Verdana" w:eastAsia="Verdana" w:hAnsi="Verdana" w:cs="Verdana"/>
          <w:b/>
          <w:bCs/>
          <w:sz w:val="20"/>
          <w:szCs w:val="20"/>
        </w:rPr>
        <w:t xml:space="preserve">Group of </w:t>
      </w:r>
      <w:r w:rsidR="00CA7831" w:rsidRPr="00CA7831">
        <w:rPr>
          <w:rFonts w:ascii="Verdana" w:eastAsia="Verdana" w:hAnsi="Verdana" w:cs="Verdana"/>
          <w:b/>
          <w:bCs/>
          <w:color w:val="000000"/>
          <w:sz w:val="20"/>
          <w:szCs w:val="20"/>
        </w:rPr>
        <w:t>s</w:t>
      </w:r>
      <w:r w:rsidRPr="00CA7831">
        <w:rPr>
          <w:rFonts w:ascii="Verdana" w:eastAsia="Verdana" w:hAnsi="Verdana" w:cs="Verdana"/>
          <w:b/>
          <w:bCs/>
          <w:color w:val="000000"/>
          <w:sz w:val="20"/>
          <w:szCs w:val="20"/>
        </w:rPr>
        <w:t>ectoral</w:t>
      </w:r>
      <w:r w:rsidRPr="0054453B">
        <w:rPr>
          <w:rFonts w:ascii="Verdana" w:eastAsia="Verdana" w:hAnsi="Verdana" w:cs="Verdana"/>
          <w:b/>
          <w:color w:val="000000"/>
          <w:sz w:val="20"/>
          <w:szCs w:val="20"/>
        </w:rPr>
        <w:t xml:space="preserve"> experts </w:t>
      </w:r>
      <w:r w:rsidR="009C2479">
        <w:rPr>
          <w:rFonts w:ascii="Verdana" w:eastAsia="Verdana" w:hAnsi="Verdana" w:cs="Verdana"/>
          <w:b/>
          <w:color w:val="000000"/>
          <w:sz w:val="20"/>
          <w:szCs w:val="20"/>
        </w:rPr>
        <w:t xml:space="preserve">in the </w:t>
      </w:r>
      <w:r w:rsidR="003F6587">
        <w:rPr>
          <w:rFonts w:ascii="Verdana" w:eastAsia="Verdana" w:hAnsi="Verdana" w:cs="Verdana"/>
          <w:b/>
          <w:color w:val="000000"/>
          <w:sz w:val="20"/>
          <w:szCs w:val="20"/>
        </w:rPr>
        <w:t>sphere of taxation</w:t>
      </w:r>
      <w:r w:rsidRPr="0054453B">
        <w:rPr>
          <w:rFonts w:ascii="Verdana" w:eastAsia="Verdana" w:hAnsi="Verdana" w:cs="Verdana"/>
          <w:sz w:val="20"/>
          <w:szCs w:val="20"/>
        </w:rPr>
        <w:t xml:space="preserve">”. </w:t>
      </w:r>
    </w:p>
    <w:p w14:paraId="7FD469A3" w14:textId="5AEE4072" w:rsidR="00CA7831" w:rsidRDefault="00CA7831" w:rsidP="00567ABA">
      <w:pPr>
        <w:widowControl w:val="0"/>
        <w:pBdr>
          <w:top w:val="nil"/>
          <w:left w:val="nil"/>
          <w:bottom w:val="nil"/>
          <w:right w:val="nil"/>
          <w:between w:val="nil"/>
        </w:pBdr>
        <w:spacing w:line="360" w:lineRule="auto"/>
        <w:jc w:val="both"/>
        <w:rPr>
          <w:rFonts w:ascii="Verdana" w:eastAsia="Verdana" w:hAnsi="Verdana" w:cs="Verdana"/>
          <w:sz w:val="20"/>
          <w:szCs w:val="20"/>
        </w:rPr>
      </w:pPr>
      <w:r>
        <w:rPr>
          <w:rFonts w:ascii="Verdana" w:eastAsia="Verdana" w:hAnsi="Verdana" w:cs="Verdana"/>
          <w:sz w:val="20"/>
          <w:szCs w:val="20"/>
        </w:rPr>
        <w:t>T</w:t>
      </w:r>
      <w:r w:rsidRPr="00CA7831">
        <w:rPr>
          <w:rFonts w:ascii="Verdana" w:eastAsia="Verdana" w:hAnsi="Verdana" w:cs="Verdana"/>
          <w:sz w:val="20"/>
          <w:szCs w:val="20"/>
        </w:rPr>
        <w:t>eam of experts or organization</w:t>
      </w:r>
      <w:r>
        <w:rPr>
          <w:rFonts w:ascii="Verdana" w:eastAsia="Verdana" w:hAnsi="Verdana" w:cs="Verdana"/>
          <w:sz w:val="20"/>
          <w:szCs w:val="20"/>
        </w:rPr>
        <w:t xml:space="preserve"> may submit one application.</w:t>
      </w:r>
    </w:p>
    <w:p w14:paraId="5C7F37C2" w14:textId="77777777" w:rsidR="00A1294F" w:rsidRPr="00A1294F" w:rsidRDefault="00A1294F" w:rsidP="00567ABA">
      <w:pPr>
        <w:widowControl w:val="0"/>
        <w:pBdr>
          <w:top w:val="nil"/>
          <w:left w:val="nil"/>
          <w:bottom w:val="nil"/>
          <w:right w:val="nil"/>
          <w:between w:val="nil"/>
        </w:pBdr>
        <w:spacing w:line="360" w:lineRule="auto"/>
        <w:jc w:val="both"/>
        <w:rPr>
          <w:rFonts w:ascii="Verdana" w:eastAsia="Verdana" w:hAnsi="Verdana" w:cs="Verdana"/>
          <w:sz w:val="20"/>
          <w:szCs w:val="20"/>
        </w:rPr>
      </w:pPr>
    </w:p>
    <w:p w14:paraId="368E3C2F" w14:textId="510AAA41" w:rsidR="00AB108E" w:rsidRPr="0054453B" w:rsidRDefault="00DB1BF9" w:rsidP="00567ABA">
      <w:pPr>
        <w:widowControl w:val="0"/>
        <w:pBdr>
          <w:top w:val="nil"/>
          <w:left w:val="nil"/>
          <w:bottom w:val="nil"/>
          <w:right w:val="nil"/>
          <w:between w:val="nil"/>
        </w:pBdr>
        <w:spacing w:line="360" w:lineRule="auto"/>
        <w:jc w:val="both"/>
        <w:rPr>
          <w:rFonts w:ascii="Verdana" w:eastAsia="Verdana" w:hAnsi="Verdana" w:cs="Verdana"/>
          <w:sz w:val="20"/>
          <w:szCs w:val="20"/>
        </w:rPr>
      </w:pPr>
      <w:r w:rsidRPr="0054453B">
        <w:rPr>
          <w:rFonts w:ascii="Verdana" w:eastAsia="Verdana" w:hAnsi="Verdana" w:cs="Verdana"/>
          <w:sz w:val="20"/>
          <w:szCs w:val="20"/>
        </w:rPr>
        <w:t>The applicant</w:t>
      </w:r>
      <w:r w:rsidR="00F50413">
        <w:rPr>
          <w:rFonts w:ascii="Verdana" w:eastAsia="Verdana" w:hAnsi="Verdana" w:cs="Verdana"/>
          <w:sz w:val="20"/>
          <w:szCs w:val="20"/>
        </w:rPr>
        <w:t>s</w:t>
      </w:r>
      <w:r w:rsidRPr="0054453B">
        <w:rPr>
          <w:rFonts w:ascii="Verdana" w:eastAsia="Verdana" w:hAnsi="Verdana" w:cs="Verdana"/>
          <w:sz w:val="20"/>
          <w:szCs w:val="20"/>
        </w:rPr>
        <w:t xml:space="preserve"> will receive an auto-reply from euaci@um.dk when the application is received.              If an auto-reply is not received, please contact the EUACI.</w:t>
      </w:r>
    </w:p>
    <w:p w14:paraId="09A7ABE6" w14:textId="77777777" w:rsidR="00AB108E" w:rsidRPr="0054453B" w:rsidRDefault="00AB108E" w:rsidP="00567ABA">
      <w:pPr>
        <w:widowControl w:val="0"/>
        <w:pBdr>
          <w:top w:val="nil"/>
          <w:left w:val="nil"/>
          <w:bottom w:val="nil"/>
          <w:right w:val="nil"/>
          <w:between w:val="nil"/>
        </w:pBdr>
        <w:spacing w:line="360" w:lineRule="auto"/>
        <w:jc w:val="both"/>
        <w:rPr>
          <w:rFonts w:ascii="Verdana" w:eastAsia="Verdana" w:hAnsi="Verdana" w:cs="Verdana"/>
          <w:sz w:val="20"/>
          <w:szCs w:val="20"/>
        </w:rPr>
      </w:pPr>
    </w:p>
    <w:p w14:paraId="007A3B59" w14:textId="77777777" w:rsidR="00AB108E" w:rsidRPr="0054453B" w:rsidRDefault="00DB1BF9" w:rsidP="00567ABA">
      <w:pPr>
        <w:widowControl w:val="0"/>
        <w:pBdr>
          <w:top w:val="nil"/>
          <w:left w:val="nil"/>
          <w:bottom w:val="nil"/>
          <w:right w:val="nil"/>
          <w:between w:val="nil"/>
        </w:pBdr>
        <w:spacing w:line="360" w:lineRule="auto"/>
        <w:jc w:val="both"/>
        <w:rPr>
          <w:rFonts w:ascii="Verdana" w:eastAsia="Verdana" w:hAnsi="Verdana" w:cs="Verdana"/>
          <w:sz w:val="20"/>
          <w:szCs w:val="20"/>
        </w:rPr>
      </w:pPr>
      <w:bookmarkStart w:id="7" w:name="_1t3h5sf" w:colFirst="0" w:colLast="0"/>
      <w:bookmarkEnd w:id="7"/>
      <w:r w:rsidRPr="0054453B">
        <w:rPr>
          <w:rFonts w:ascii="Verdana" w:eastAsia="Verdana" w:hAnsi="Verdana" w:cs="Verdana"/>
          <w:sz w:val="20"/>
          <w:szCs w:val="20"/>
        </w:rPr>
        <w:t xml:space="preserve">Bidding language: </w:t>
      </w:r>
      <w:r w:rsidRPr="0054453B">
        <w:rPr>
          <w:rFonts w:ascii="Verdana" w:eastAsia="Verdana" w:hAnsi="Verdana" w:cs="Verdana"/>
          <w:b/>
          <w:sz w:val="20"/>
          <w:szCs w:val="20"/>
        </w:rPr>
        <w:t>English</w:t>
      </w:r>
      <w:r w:rsidRPr="0054453B">
        <w:rPr>
          <w:rFonts w:ascii="Verdana" w:eastAsia="Verdana" w:hAnsi="Verdana" w:cs="Verdana"/>
          <w:sz w:val="20"/>
          <w:szCs w:val="20"/>
        </w:rPr>
        <w:t>.</w:t>
      </w:r>
    </w:p>
    <w:p w14:paraId="36834391" w14:textId="77777777" w:rsidR="00F43505" w:rsidRDefault="00F43505" w:rsidP="00567ABA">
      <w:pPr>
        <w:spacing w:line="360" w:lineRule="auto"/>
        <w:jc w:val="both"/>
        <w:rPr>
          <w:rFonts w:ascii="Verdana" w:eastAsia="Verdana" w:hAnsi="Verdana" w:cs="Verdana"/>
          <w:sz w:val="20"/>
          <w:szCs w:val="20"/>
        </w:rPr>
      </w:pPr>
    </w:p>
    <w:p w14:paraId="748F8295" w14:textId="3CABA916" w:rsidR="00AB108E" w:rsidRDefault="00DB1BF9" w:rsidP="00567ABA">
      <w:pPr>
        <w:spacing w:line="360" w:lineRule="auto"/>
        <w:jc w:val="both"/>
      </w:pPr>
      <w:r w:rsidRPr="0054453B">
        <w:rPr>
          <w:rFonts w:ascii="Verdana" w:eastAsia="Verdana" w:hAnsi="Verdana" w:cs="Verdana"/>
          <w:sz w:val="20"/>
          <w:szCs w:val="20"/>
        </w:rPr>
        <w:t xml:space="preserve">Any clarification questions for the bid request should be addressed to </w:t>
      </w:r>
      <w:hyperlink r:id="rId11">
        <w:r w:rsidRPr="0054453B">
          <w:rPr>
            <w:rFonts w:ascii="Verdana" w:eastAsia="Verdana" w:hAnsi="Verdana" w:cs="Verdana"/>
            <w:color w:val="000000"/>
            <w:sz w:val="20"/>
            <w:szCs w:val="20"/>
            <w:u w:val="single"/>
          </w:rPr>
          <w:t>euaci@um.dk</w:t>
        </w:r>
      </w:hyperlink>
      <w:r w:rsidRPr="0054453B">
        <w:rPr>
          <w:rFonts w:ascii="Verdana" w:eastAsia="Verdana" w:hAnsi="Verdana" w:cs="Verdana"/>
          <w:sz w:val="20"/>
          <w:szCs w:val="20"/>
        </w:rPr>
        <w:t xml:space="preserve"> and </w:t>
      </w:r>
      <w:hyperlink r:id="rId12">
        <w:r w:rsidRPr="0054453B">
          <w:rPr>
            <w:rFonts w:ascii="Verdana" w:eastAsia="Verdana" w:hAnsi="Verdana" w:cs="Verdana"/>
            <w:color w:val="000000"/>
            <w:sz w:val="20"/>
            <w:szCs w:val="20"/>
            <w:u w:val="single"/>
          </w:rPr>
          <w:t>ievrom@um.dk</w:t>
        </w:r>
      </w:hyperlink>
      <w:r w:rsidRPr="0054453B">
        <w:rPr>
          <w:rFonts w:ascii="Verdana" w:eastAsia="Verdana" w:hAnsi="Verdana" w:cs="Verdana"/>
          <w:sz w:val="20"/>
          <w:szCs w:val="20"/>
        </w:rPr>
        <w:t xml:space="preserve">, </w:t>
      </w:r>
      <w:r w:rsidRPr="0054453B">
        <w:rPr>
          <w:rFonts w:ascii="Verdana" w:eastAsia="Verdana" w:hAnsi="Verdana" w:cs="Verdana"/>
          <w:b/>
          <w:sz w:val="20"/>
          <w:szCs w:val="20"/>
        </w:rPr>
        <w:t xml:space="preserve">no later than </w:t>
      </w:r>
      <w:r w:rsidR="00CA7831">
        <w:rPr>
          <w:rFonts w:ascii="Verdana" w:eastAsia="Verdana" w:hAnsi="Verdana" w:cs="Verdana"/>
          <w:b/>
          <w:sz w:val="20"/>
          <w:szCs w:val="20"/>
        </w:rPr>
        <w:t>2</w:t>
      </w:r>
      <w:r w:rsidR="00FE33D3">
        <w:rPr>
          <w:rFonts w:ascii="Verdana" w:eastAsia="Verdana" w:hAnsi="Verdana" w:cs="Verdana"/>
          <w:b/>
          <w:sz w:val="20"/>
          <w:szCs w:val="20"/>
        </w:rPr>
        <w:t>0</w:t>
      </w:r>
      <w:r w:rsidR="0054453B" w:rsidRPr="0054453B">
        <w:rPr>
          <w:rFonts w:ascii="Verdana" w:eastAsia="Verdana" w:hAnsi="Verdana" w:cs="Verdana"/>
          <w:b/>
          <w:sz w:val="20"/>
          <w:szCs w:val="20"/>
        </w:rPr>
        <w:t xml:space="preserve"> February</w:t>
      </w:r>
      <w:r w:rsidRPr="0054453B">
        <w:rPr>
          <w:rFonts w:ascii="Verdana" w:eastAsia="Verdana" w:hAnsi="Verdana" w:cs="Verdana"/>
          <w:b/>
          <w:sz w:val="20"/>
          <w:szCs w:val="20"/>
        </w:rPr>
        <w:t xml:space="preserve"> 2025, 18:00 </w:t>
      </w:r>
      <w:r w:rsidRPr="0054453B">
        <w:rPr>
          <w:rFonts w:ascii="Verdana" w:eastAsia="Verdana" w:hAnsi="Verdana" w:cs="Verdana"/>
          <w:b/>
          <w:color w:val="000000"/>
          <w:sz w:val="20"/>
          <w:szCs w:val="20"/>
        </w:rPr>
        <w:t>Kyiv time.</w:t>
      </w:r>
    </w:p>
    <w:p w14:paraId="4091917A" w14:textId="77777777" w:rsidR="00AB108E" w:rsidRDefault="00AB108E" w:rsidP="00567ABA">
      <w:pPr>
        <w:pStyle w:val="Heading1"/>
        <w:spacing w:before="0" w:after="0" w:line="360" w:lineRule="auto"/>
        <w:rPr>
          <w:rFonts w:ascii="Verdana" w:eastAsia="Verdana" w:hAnsi="Verdana" w:cs="Verdana"/>
          <w:color w:val="000000"/>
          <w:sz w:val="20"/>
          <w:szCs w:val="20"/>
        </w:rPr>
      </w:pPr>
    </w:p>
    <w:p w14:paraId="2B86DF32" w14:textId="77777777" w:rsidR="00AB108E" w:rsidRDefault="00DB1BF9" w:rsidP="00567ABA">
      <w:pPr>
        <w:pStyle w:val="Heading1"/>
        <w:spacing w:before="0" w:after="0" w:line="360" w:lineRule="auto"/>
        <w:rPr>
          <w:rFonts w:ascii="Verdana" w:eastAsia="Verdana" w:hAnsi="Verdana" w:cs="Verdana"/>
          <w:color w:val="000000"/>
          <w:sz w:val="20"/>
          <w:szCs w:val="20"/>
        </w:rPr>
      </w:pPr>
      <w:r>
        <w:rPr>
          <w:rFonts w:ascii="Verdana" w:eastAsia="Verdana" w:hAnsi="Verdana" w:cs="Verdana"/>
          <w:color w:val="000000"/>
          <w:sz w:val="20"/>
          <w:szCs w:val="20"/>
        </w:rPr>
        <w:t>Evaluation criteria:</w:t>
      </w:r>
    </w:p>
    <w:p w14:paraId="702D4DE3" w14:textId="77777777" w:rsidR="00AB108E" w:rsidRDefault="00DB1BF9" w:rsidP="00567ABA">
      <w:pPr>
        <w:spacing w:line="360" w:lineRule="auto"/>
        <w:rPr>
          <w:rFonts w:ascii="Verdana" w:eastAsia="Verdana" w:hAnsi="Verdana" w:cs="Verdana"/>
          <w:color w:val="000000"/>
          <w:sz w:val="20"/>
          <w:szCs w:val="20"/>
        </w:rPr>
      </w:pPr>
      <w:r>
        <w:rPr>
          <w:rFonts w:ascii="Verdana" w:eastAsia="Verdana" w:hAnsi="Verdana" w:cs="Verdana"/>
          <w:color w:val="000000"/>
          <w:sz w:val="20"/>
          <w:szCs w:val="20"/>
        </w:rPr>
        <w:t>Bids will be evaluated under the criteria provided below:</w:t>
      </w:r>
    </w:p>
    <w:p w14:paraId="1511FDAC" w14:textId="77777777" w:rsidR="00AB108E" w:rsidRDefault="00AB108E" w:rsidP="00567ABA">
      <w:pPr>
        <w:spacing w:line="360" w:lineRule="auto"/>
        <w:rPr>
          <w:rFonts w:ascii="Verdana" w:eastAsia="Verdana" w:hAnsi="Verdana" w:cs="Verdana"/>
          <w:color w:val="000000"/>
          <w:sz w:val="20"/>
          <w:szCs w:val="20"/>
        </w:rPr>
      </w:pPr>
    </w:p>
    <w:tbl>
      <w:tblPr>
        <w:tblStyle w:val="a"/>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
        <w:gridCol w:w="7433"/>
        <w:gridCol w:w="1800"/>
      </w:tblGrid>
      <w:tr w:rsidR="00AB108E" w14:paraId="27408482" w14:textId="77777777">
        <w:trPr>
          <w:trHeight w:val="468"/>
        </w:trPr>
        <w:tc>
          <w:tcPr>
            <w:tcW w:w="397" w:type="dxa"/>
            <w:shd w:val="clear" w:color="auto" w:fill="8DB3E2"/>
          </w:tcPr>
          <w:p w14:paraId="6E3D5ADE" w14:textId="77777777" w:rsidR="00AB108E" w:rsidRDefault="00DB1BF9" w:rsidP="00567ABA">
            <w:pPr>
              <w:spacing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w:t>
            </w:r>
          </w:p>
        </w:tc>
        <w:tc>
          <w:tcPr>
            <w:tcW w:w="7433" w:type="dxa"/>
            <w:shd w:val="clear" w:color="auto" w:fill="8DB3E2"/>
          </w:tcPr>
          <w:p w14:paraId="42D3D702" w14:textId="77777777" w:rsidR="00AB108E" w:rsidRDefault="00DB1BF9" w:rsidP="00567ABA">
            <w:pPr>
              <w:spacing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Criteria</w:t>
            </w:r>
          </w:p>
        </w:tc>
        <w:tc>
          <w:tcPr>
            <w:tcW w:w="1800" w:type="dxa"/>
            <w:shd w:val="clear" w:color="auto" w:fill="8DB3E2"/>
          </w:tcPr>
          <w:p w14:paraId="53EC31D4" w14:textId="77777777" w:rsidR="00AB108E" w:rsidRDefault="00DB1BF9" w:rsidP="00567ABA">
            <w:pPr>
              <w:spacing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Weight</w:t>
            </w:r>
          </w:p>
        </w:tc>
      </w:tr>
      <w:tr w:rsidR="00AB108E" w14:paraId="787A9EF7" w14:textId="77777777">
        <w:trPr>
          <w:trHeight w:val="77"/>
        </w:trPr>
        <w:tc>
          <w:tcPr>
            <w:tcW w:w="397" w:type="dxa"/>
          </w:tcPr>
          <w:p w14:paraId="712837AE" w14:textId="77777777" w:rsidR="00AB108E" w:rsidRDefault="00DB1BF9" w:rsidP="00567ABA">
            <w:pPr>
              <w:spacing w:line="360" w:lineRule="auto"/>
              <w:rPr>
                <w:rFonts w:ascii="Verdana" w:eastAsia="Verdana" w:hAnsi="Verdana" w:cs="Verdana"/>
                <w:color w:val="000000"/>
                <w:sz w:val="20"/>
                <w:szCs w:val="20"/>
              </w:rPr>
            </w:pPr>
            <w:r>
              <w:rPr>
                <w:rFonts w:ascii="Verdana" w:eastAsia="Verdana" w:hAnsi="Verdana" w:cs="Verdana"/>
                <w:color w:val="000000"/>
                <w:sz w:val="20"/>
                <w:szCs w:val="20"/>
              </w:rPr>
              <w:t>1</w:t>
            </w:r>
          </w:p>
        </w:tc>
        <w:tc>
          <w:tcPr>
            <w:tcW w:w="7433" w:type="dxa"/>
          </w:tcPr>
          <w:p w14:paraId="2EED00DA" w14:textId="77777777" w:rsidR="00AB108E" w:rsidRDefault="00DB1BF9" w:rsidP="00567ABA">
            <w:pPr>
              <w:tabs>
                <w:tab w:val="left" w:pos="426"/>
              </w:tabs>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Criterion 1: Professional experience, including the length of experience, the proven track record of practical expertise in the given field, quality               of example of the analytical product provided</w:t>
            </w:r>
          </w:p>
          <w:p w14:paraId="55468196" w14:textId="77777777" w:rsidR="00AB108E" w:rsidRDefault="00AB108E" w:rsidP="00567ABA">
            <w:pPr>
              <w:tabs>
                <w:tab w:val="left" w:pos="426"/>
              </w:tabs>
              <w:spacing w:line="360" w:lineRule="auto"/>
              <w:jc w:val="both"/>
              <w:rPr>
                <w:rFonts w:ascii="Verdana" w:eastAsia="Verdana" w:hAnsi="Verdana" w:cs="Verdana"/>
                <w:color w:val="000000"/>
                <w:sz w:val="20"/>
                <w:szCs w:val="20"/>
              </w:rPr>
            </w:pPr>
          </w:p>
        </w:tc>
        <w:tc>
          <w:tcPr>
            <w:tcW w:w="1800" w:type="dxa"/>
          </w:tcPr>
          <w:p w14:paraId="0CE641E5" w14:textId="77777777" w:rsidR="00AB108E" w:rsidRDefault="00DB1BF9" w:rsidP="00567ABA">
            <w:pPr>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70%</w:t>
            </w:r>
          </w:p>
        </w:tc>
      </w:tr>
      <w:tr w:rsidR="00AB108E" w14:paraId="1475CBAF" w14:textId="77777777">
        <w:tc>
          <w:tcPr>
            <w:tcW w:w="397" w:type="dxa"/>
          </w:tcPr>
          <w:p w14:paraId="13317374" w14:textId="77777777" w:rsidR="00AB108E" w:rsidRDefault="00DB1BF9" w:rsidP="00567ABA">
            <w:pPr>
              <w:spacing w:line="360" w:lineRule="auto"/>
              <w:rPr>
                <w:rFonts w:ascii="Verdana" w:eastAsia="Verdana" w:hAnsi="Verdana" w:cs="Verdana"/>
                <w:color w:val="000000"/>
                <w:sz w:val="20"/>
                <w:szCs w:val="20"/>
              </w:rPr>
            </w:pPr>
            <w:r>
              <w:rPr>
                <w:rFonts w:ascii="Verdana" w:eastAsia="Verdana" w:hAnsi="Verdana" w:cs="Verdana"/>
                <w:color w:val="000000"/>
                <w:sz w:val="20"/>
                <w:szCs w:val="20"/>
              </w:rPr>
              <w:t>2</w:t>
            </w:r>
          </w:p>
        </w:tc>
        <w:tc>
          <w:tcPr>
            <w:tcW w:w="7433" w:type="dxa"/>
          </w:tcPr>
          <w:p w14:paraId="6B26D712" w14:textId="77777777" w:rsidR="00AB108E" w:rsidRDefault="00DB1BF9" w:rsidP="00567ABA">
            <w:pPr>
              <w:tabs>
                <w:tab w:val="left" w:pos="426"/>
              </w:tabs>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Criterion 2: Financial offer</w:t>
            </w:r>
          </w:p>
          <w:p w14:paraId="4C15B4A4" w14:textId="77777777" w:rsidR="00AB108E" w:rsidRDefault="00AB108E" w:rsidP="00567ABA">
            <w:pPr>
              <w:tabs>
                <w:tab w:val="left" w:pos="426"/>
              </w:tabs>
              <w:spacing w:line="360" w:lineRule="auto"/>
              <w:jc w:val="both"/>
              <w:rPr>
                <w:rFonts w:ascii="Verdana" w:eastAsia="Verdana" w:hAnsi="Verdana" w:cs="Verdana"/>
                <w:color w:val="000000"/>
                <w:sz w:val="20"/>
                <w:szCs w:val="20"/>
              </w:rPr>
            </w:pPr>
          </w:p>
        </w:tc>
        <w:tc>
          <w:tcPr>
            <w:tcW w:w="1800" w:type="dxa"/>
          </w:tcPr>
          <w:p w14:paraId="77BFCF04" w14:textId="77777777" w:rsidR="00AB108E" w:rsidRDefault="00DB1BF9" w:rsidP="00567ABA">
            <w:pPr>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30%</w:t>
            </w:r>
          </w:p>
        </w:tc>
      </w:tr>
    </w:tbl>
    <w:p w14:paraId="0613BC63" w14:textId="77777777" w:rsidR="00AB108E" w:rsidRDefault="00AB108E" w:rsidP="00567ABA">
      <w:pPr>
        <w:spacing w:line="360" w:lineRule="auto"/>
        <w:rPr>
          <w:rFonts w:ascii="Verdana" w:eastAsia="Verdana" w:hAnsi="Verdana" w:cs="Verdana"/>
          <w:color w:val="000000"/>
          <w:sz w:val="20"/>
          <w:szCs w:val="20"/>
        </w:rPr>
      </w:pPr>
    </w:p>
    <w:sectPr w:rsidR="00AB108E">
      <w:headerReference w:type="default" r:id="rId13"/>
      <w:footerReference w:type="default" r:id="rId14"/>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23AF" w14:textId="77777777" w:rsidR="001854A4" w:rsidRDefault="001854A4">
      <w:r>
        <w:separator/>
      </w:r>
    </w:p>
  </w:endnote>
  <w:endnote w:type="continuationSeparator" w:id="0">
    <w:p w14:paraId="7CF30CEC" w14:textId="77777777" w:rsidR="001854A4" w:rsidRDefault="0018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8D47" w14:textId="77777777" w:rsidR="00AB108E" w:rsidRDefault="00DB1BF9">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rPr>
      <w:drawing>
        <wp:inline distT="0" distB="0" distL="0" distR="0" wp14:anchorId="6927B66E" wp14:editId="338E790C">
          <wp:extent cx="3108960" cy="111569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8263" w14:textId="77777777" w:rsidR="001854A4" w:rsidRDefault="001854A4">
      <w:r>
        <w:separator/>
      </w:r>
    </w:p>
  </w:footnote>
  <w:footnote w:type="continuationSeparator" w:id="0">
    <w:p w14:paraId="700226E4" w14:textId="77777777" w:rsidR="001854A4" w:rsidRDefault="00185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DE74" w14:textId="77777777" w:rsidR="00AB108E" w:rsidRDefault="00DB1BF9">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2B3CF273" wp14:editId="5C2DEE9C">
          <wp:extent cx="5758207" cy="8313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4" b="4452"/>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5DF1"/>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06F164F"/>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40536C3"/>
    <w:multiLevelType w:val="hybridMultilevel"/>
    <w:tmpl w:val="079A10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E6140"/>
    <w:multiLevelType w:val="multilevel"/>
    <w:tmpl w:val="5A74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369D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EA267F"/>
    <w:multiLevelType w:val="hybridMultilevel"/>
    <w:tmpl w:val="08EEF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8E0892"/>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FA0E1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6C69F5"/>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8CC5C85"/>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9EA3CFD"/>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54D5918"/>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9"/>
  </w:num>
  <w:num w:numId="2">
    <w:abstractNumId w:val="8"/>
  </w:num>
  <w:num w:numId="3">
    <w:abstractNumId w:val="0"/>
  </w:num>
  <w:num w:numId="4">
    <w:abstractNumId w:val="11"/>
  </w:num>
  <w:num w:numId="5">
    <w:abstractNumId w:val="10"/>
  </w:num>
  <w:num w:numId="6">
    <w:abstractNumId w:val="7"/>
  </w:num>
  <w:num w:numId="7">
    <w:abstractNumId w:val="4"/>
  </w:num>
  <w:num w:numId="8">
    <w:abstractNumId w:val="1"/>
  </w:num>
  <w:num w:numId="9">
    <w:abstractNumId w:val="6"/>
  </w:num>
  <w:num w:numId="10">
    <w:abstractNumId w:val="3"/>
  </w:num>
  <w:num w:numId="11">
    <w:abstractNumId w:val="5"/>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8E"/>
    <w:rsid w:val="00054FD3"/>
    <w:rsid w:val="000C19AD"/>
    <w:rsid w:val="000F1095"/>
    <w:rsid w:val="00156108"/>
    <w:rsid w:val="001854A4"/>
    <w:rsid w:val="0019545D"/>
    <w:rsid w:val="00296902"/>
    <w:rsid w:val="0032445F"/>
    <w:rsid w:val="00370710"/>
    <w:rsid w:val="003B07E6"/>
    <w:rsid w:val="003C05BD"/>
    <w:rsid w:val="003F6587"/>
    <w:rsid w:val="004018CB"/>
    <w:rsid w:val="004067F4"/>
    <w:rsid w:val="00474866"/>
    <w:rsid w:val="004B0399"/>
    <w:rsid w:val="004D5779"/>
    <w:rsid w:val="005007A1"/>
    <w:rsid w:val="0054453B"/>
    <w:rsid w:val="00564570"/>
    <w:rsid w:val="00567ABA"/>
    <w:rsid w:val="00612072"/>
    <w:rsid w:val="00625506"/>
    <w:rsid w:val="006F1A68"/>
    <w:rsid w:val="006F7369"/>
    <w:rsid w:val="00730174"/>
    <w:rsid w:val="007603AF"/>
    <w:rsid w:val="007612AB"/>
    <w:rsid w:val="0077544E"/>
    <w:rsid w:val="007A31C7"/>
    <w:rsid w:val="00836D0D"/>
    <w:rsid w:val="00891337"/>
    <w:rsid w:val="008C1486"/>
    <w:rsid w:val="008D06A7"/>
    <w:rsid w:val="008D2354"/>
    <w:rsid w:val="008F3406"/>
    <w:rsid w:val="00943E70"/>
    <w:rsid w:val="0095651D"/>
    <w:rsid w:val="00981FAC"/>
    <w:rsid w:val="0099574A"/>
    <w:rsid w:val="009A7FC6"/>
    <w:rsid w:val="009C2479"/>
    <w:rsid w:val="00A0690B"/>
    <w:rsid w:val="00A1294F"/>
    <w:rsid w:val="00A63D23"/>
    <w:rsid w:val="00AB108E"/>
    <w:rsid w:val="00AC34A8"/>
    <w:rsid w:val="00B83F90"/>
    <w:rsid w:val="00BD2EC4"/>
    <w:rsid w:val="00C10645"/>
    <w:rsid w:val="00C4397A"/>
    <w:rsid w:val="00C56169"/>
    <w:rsid w:val="00C61615"/>
    <w:rsid w:val="00CA7831"/>
    <w:rsid w:val="00D13A14"/>
    <w:rsid w:val="00D55833"/>
    <w:rsid w:val="00DA0D1C"/>
    <w:rsid w:val="00DB1BF9"/>
    <w:rsid w:val="00DD39A5"/>
    <w:rsid w:val="00DE5029"/>
    <w:rsid w:val="00E36E8A"/>
    <w:rsid w:val="00F43505"/>
    <w:rsid w:val="00F50413"/>
    <w:rsid w:val="00FA2591"/>
    <w:rsid w:val="00FE33D3"/>
    <w:rsid w:val="00FF29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C62E"/>
  <w15:docId w15:val="{4DCC149A-7F38-C84C-B8AB-D01785D9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1294F"/>
    <w:rPr>
      <w:color w:val="0000FF" w:themeColor="hyperlink"/>
      <w:u w:val="single"/>
    </w:rPr>
  </w:style>
  <w:style w:type="character" w:styleId="UnresolvedMention">
    <w:name w:val="Unresolved Mention"/>
    <w:basedOn w:val="DefaultParagraphFont"/>
    <w:uiPriority w:val="99"/>
    <w:semiHidden/>
    <w:unhideWhenUsed/>
    <w:rsid w:val="00A1294F"/>
    <w:rPr>
      <w:color w:val="605E5C"/>
      <w:shd w:val="clear" w:color="auto" w:fill="E1DFDD"/>
    </w:rPr>
  </w:style>
  <w:style w:type="character" w:styleId="CommentReference">
    <w:name w:val="annotation reference"/>
    <w:basedOn w:val="DefaultParagraphFont"/>
    <w:uiPriority w:val="99"/>
    <w:semiHidden/>
    <w:unhideWhenUsed/>
    <w:rsid w:val="0099574A"/>
    <w:rPr>
      <w:sz w:val="16"/>
      <w:szCs w:val="16"/>
    </w:rPr>
  </w:style>
  <w:style w:type="paragraph" w:styleId="CommentText">
    <w:name w:val="annotation text"/>
    <w:basedOn w:val="Normal"/>
    <w:link w:val="CommentTextChar"/>
    <w:uiPriority w:val="99"/>
    <w:semiHidden/>
    <w:unhideWhenUsed/>
    <w:rsid w:val="0099574A"/>
    <w:rPr>
      <w:sz w:val="20"/>
      <w:szCs w:val="20"/>
    </w:rPr>
  </w:style>
  <w:style w:type="character" w:customStyle="1" w:styleId="CommentTextChar">
    <w:name w:val="Comment Text Char"/>
    <w:basedOn w:val="DefaultParagraphFont"/>
    <w:link w:val="CommentText"/>
    <w:uiPriority w:val="99"/>
    <w:semiHidden/>
    <w:rsid w:val="0099574A"/>
    <w:rPr>
      <w:sz w:val="20"/>
      <w:szCs w:val="20"/>
    </w:rPr>
  </w:style>
  <w:style w:type="paragraph" w:styleId="CommentSubject">
    <w:name w:val="annotation subject"/>
    <w:basedOn w:val="CommentText"/>
    <w:next w:val="CommentText"/>
    <w:link w:val="CommentSubjectChar"/>
    <w:uiPriority w:val="99"/>
    <w:semiHidden/>
    <w:unhideWhenUsed/>
    <w:rsid w:val="0099574A"/>
    <w:rPr>
      <w:b/>
      <w:bCs/>
    </w:rPr>
  </w:style>
  <w:style w:type="character" w:customStyle="1" w:styleId="CommentSubjectChar">
    <w:name w:val="Comment Subject Char"/>
    <w:basedOn w:val="CommentTextChar"/>
    <w:link w:val="CommentSubject"/>
    <w:uiPriority w:val="99"/>
    <w:semiHidden/>
    <w:rsid w:val="0099574A"/>
    <w:rPr>
      <w:b/>
      <w:bCs/>
      <w:sz w:val="20"/>
      <w:szCs w:val="20"/>
    </w:rPr>
  </w:style>
  <w:style w:type="paragraph" w:styleId="ListParagraph">
    <w:name w:val="List Paragraph"/>
    <w:basedOn w:val="Normal"/>
    <w:uiPriority w:val="34"/>
    <w:qFormat/>
    <w:rsid w:val="004B0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3101">
      <w:bodyDiv w:val="1"/>
      <w:marLeft w:val="0"/>
      <w:marRight w:val="0"/>
      <w:marTop w:val="0"/>
      <w:marBottom w:val="0"/>
      <w:divBdr>
        <w:top w:val="none" w:sz="0" w:space="0" w:color="auto"/>
        <w:left w:val="none" w:sz="0" w:space="0" w:color="auto"/>
        <w:bottom w:val="none" w:sz="0" w:space="0" w:color="auto"/>
        <w:right w:val="none" w:sz="0" w:space="0" w:color="auto"/>
      </w:divBdr>
    </w:div>
    <w:div w:id="484319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aci.eu/en/announcements/consultancy-services-to-conduct-an-analysis-of-main-corruption-risks-and-mitigation-measures-in-the-sphere-of-taxation-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vrom@um.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aci@um.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evrom@um.dk" TargetMode="External"/><Relationship Id="rId4" Type="http://schemas.openxmlformats.org/officeDocument/2006/relationships/settings" Target="settings.xml"/><Relationship Id="rId9" Type="http://schemas.openxmlformats.org/officeDocument/2006/relationships/hyperlink" Target="mailto:euaci@um.d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A82CF-52A3-4EAF-8DB1-18E8AAED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1435</Words>
  <Characters>8185</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Ievgen Olexandrovych Romanenko</dc:creator>
  <cp:lastModifiedBy>Ievgen Romanenko</cp:lastModifiedBy>
  <cp:revision>3</cp:revision>
  <cp:lastPrinted>2025-02-05T09:56:00Z</cp:lastPrinted>
  <dcterms:created xsi:type="dcterms:W3CDTF">2025-02-17T09:05:00Z</dcterms:created>
  <dcterms:modified xsi:type="dcterms:W3CDTF">2025-02-17T09:13:00Z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