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EAFC" w14:textId="77777777" w:rsidR="005D2BD0" w:rsidRDefault="005D2BD0" w:rsidP="00FC1F3C">
      <w:pPr>
        <w:spacing w:line="312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41E325C7" w14:textId="33104FBD" w:rsidR="00D47826" w:rsidRDefault="004B0C7B" w:rsidP="00550C48">
      <w:pPr>
        <w:spacing w:line="288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TERMS OF REFERENCE</w:t>
      </w:r>
    </w:p>
    <w:p w14:paraId="6319D725" w14:textId="50867582" w:rsidR="0023524A" w:rsidRDefault="00DA7567" w:rsidP="00550C48">
      <w:pPr>
        <w:spacing w:line="288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A7567">
        <w:rPr>
          <w:rFonts w:ascii="Verdana" w:eastAsia="Verdana" w:hAnsi="Verdana" w:cs="Verdana"/>
          <w:b/>
          <w:color w:val="000000"/>
          <w:sz w:val="20"/>
          <w:szCs w:val="20"/>
        </w:rPr>
        <w:t xml:space="preserve">for </w:t>
      </w:r>
      <w:r w:rsidR="005A0E3B">
        <w:rPr>
          <w:rFonts w:ascii="Verdana" w:eastAsia="Verdana" w:hAnsi="Verdana" w:cs="Verdana"/>
          <w:b/>
          <w:color w:val="000000"/>
          <w:sz w:val="20"/>
          <w:szCs w:val="20"/>
        </w:rPr>
        <w:t xml:space="preserve">sectoral </w:t>
      </w:r>
      <w:r w:rsidR="000D73B4">
        <w:rPr>
          <w:rFonts w:ascii="Verdana" w:eastAsia="Verdana" w:hAnsi="Verdana" w:cs="Verdana"/>
          <w:b/>
          <w:color w:val="000000"/>
          <w:sz w:val="20"/>
          <w:szCs w:val="20"/>
        </w:rPr>
        <w:t>expert</w:t>
      </w:r>
      <w:r w:rsidR="00916236">
        <w:rPr>
          <w:rFonts w:ascii="Verdana" w:eastAsia="Verdana" w:hAnsi="Verdana" w:cs="Verdana"/>
          <w:b/>
          <w:color w:val="000000"/>
          <w:sz w:val="20"/>
          <w:szCs w:val="20"/>
        </w:rPr>
        <w:t>s</w:t>
      </w:r>
      <w:r w:rsidR="00531BD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0D73B4">
        <w:rPr>
          <w:rFonts w:ascii="Verdana" w:eastAsia="Verdana" w:hAnsi="Verdana" w:cs="Verdana"/>
          <w:b/>
          <w:color w:val="000000"/>
          <w:sz w:val="20"/>
          <w:szCs w:val="20"/>
        </w:rPr>
        <w:t>on</w:t>
      </w:r>
      <w:r w:rsidRPr="00DA7567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j</w:t>
      </w:r>
      <w:r w:rsidRPr="00DA7567">
        <w:rPr>
          <w:rFonts w:ascii="Verdana" w:eastAsia="Verdana" w:hAnsi="Verdana" w:cs="Verdana"/>
          <w:b/>
          <w:color w:val="000000"/>
          <w:sz w:val="20"/>
          <w:szCs w:val="20"/>
        </w:rPr>
        <w:t>udiciary</w:t>
      </w:r>
      <w:r w:rsidR="00550C48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t</w:t>
      </w:r>
      <w:r w:rsidRPr="00DA7567">
        <w:rPr>
          <w:rFonts w:ascii="Verdana" w:eastAsia="Verdana" w:hAnsi="Verdana" w:cs="Verdana"/>
          <w:b/>
          <w:color w:val="000000"/>
          <w:sz w:val="20"/>
          <w:szCs w:val="20"/>
        </w:rPr>
        <w:t xml:space="preserve">o support the development of Ukraine's </w:t>
      </w:r>
    </w:p>
    <w:p w14:paraId="119EFAAF" w14:textId="2218AA08" w:rsidR="00745EAC" w:rsidRDefault="00DA7567" w:rsidP="00550C48">
      <w:pPr>
        <w:spacing w:line="288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A7567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bookmarkStart w:id="0" w:name="_Hlk188280495"/>
      <w:r w:rsidRPr="00DA7567">
        <w:rPr>
          <w:rFonts w:ascii="Verdana" w:eastAsia="Verdana" w:hAnsi="Verdana" w:cs="Verdana"/>
          <w:b/>
          <w:color w:val="000000"/>
          <w:sz w:val="20"/>
          <w:szCs w:val="20"/>
        </w:rPr>
        <w:t>Anti-Corruption Strategy and Program</w:t>
      </w:r>
      <w:r w:rsidR="005A0E3B">
        <w:rPr>
          <w:rFonts w:ascii="Verdana" w:eastAsia="Verdana" w:hAnsi="Verdana" w:cs="Verdana"/>
          <w:b/>
          <w:color w:val="000000"/>
          <w:sz w:val="20"/>
          <w:szCs w:val="20"/>
        </w:rPr>
        <w:t xml:space="preserve"> for the period of</w:t>
      </w:r>
      <w:r w:rsidR="00745EAC">
        <w:rPr>
          <w:rFonts w:ascii="Verdana" w:eastAsia="Verdana" w:hAnsi="Verdana" w:cs="Verdana"/>
          <w:b/>
          <w:color w:val="000000"/>
          <w:sz w:val="20"/>
          <w:szCs w:val="20"/>
        </w:rPr>
        <w:t xml:space="preserve"> 2026-2029 </w:t>
      </w:r>
    </w:p>
    <w:p w14:paraId="121F0F03" w14:textId="01E38CD8" w:rsidR="00706168" w:rsidRDefault="00745EAC" w:rsidP="00550C48">
      <w:pPr>
        <w:spacing w:line="288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(3 positions)</w:t>
      </w:r>
    </w:p>
    <w:bookmarkEnd w:id="0"/>
    <w:p w14:paraId="0AF387C0" w14:textId="77777777" w:rsidR="00550C48" w:rsidRDefault="00550C48" w:rsidP="00B747A2">
      <w:pPr>
        <w:spacing w:line="288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86D761C" w14:textId="39852FD8" w:rsidR="005D2BD0" w:rsidRPr="00775558" w:rsidRDefault="006E2D7E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2E6671">
        <w:rPr>
          <w:rFonts w:ascii="Verdana" w:eastAsia="Verdana" w:hAnsi="Verdana" w:cs="Verdana"/>
          <w:b/>
          <w:color w:val="000000"/>
          <w:sz w:val="20"/>
          <w:szCs w:val="20"/>
        </w:rPr>
        <w:t>Background and context</w:t>
      </w:r>
      <w:r w:rsidR="00A22D57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14:paraId="55A11B5F" w14:textId="140DB764" w:rsidR="001618D7" w:rsidRPr="00775558" w:rsidRDefault="006E2D7E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The EU Anti-Corruption Initiative (EUACI) is the </w:t>
      </w:r>
      <w:r w:rsidR="00BF150A" w:rsidRPr="00775558">
        <w:rPr>
          <w:rFonts w:ascii="Verdana" w:eastAsia="Verdana" w:hAnsi="Verdana" w:cs="Verdana"/>
          <w:color w:val="000000"/>
          <w:sz w:val="20"/>
          <w:szCs w:val="20"/>
        </w:rPr>
        <w:t>flagship EU</w:t>
      </w:r>
      <w:r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program</w:t>
      </w:r>
      <w:r w:rsidR="00BF150A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775558">
        <w:rPr>
          <w:rFonts w:ascii="Verdana" w:eastAsia="Verdana" w:hAnsi="Verdana" w:cs="Verdana"/>
          <w:color w:val="000000"/>
          <w:sz w:val="20"/>
          <w:szCs w:val="20"/>
        </w:rPr>
        <w:t>in Ukraine funded by the EU, co-</w:t>
      </w:r>
      <w:proofErr w:type="spellStart"/>
      <w:r w:rsidRPr="00775558">
        <w:rPr>
          <w:rFonts w:ascii="Verdana" w:eastAsia="Verdana" w:hAnsi="Verdana" w:cs="Verdana"/>
          <w:color w:val="000000"/>
          <w:sz w:val="20"/>
          <w:szCs w:val="20"/>
        </w:rPr>
        <w:t>funded</w:t>
      </w:r>
      <w:proofErr w:type="spellEnd"/>
      <w:r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and implemented by the Ministry of Foreign </w:t>
      </w:r>
      <w:r w:rsidR="00BF150A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Affairs </w:t>
      </w:r>
      <w:r w:rsidRPr="00775558">
        <w:rPr>
          <w:rFonts w:ascii="Verdana" w:eastAsia="Verdana" w:hAnsi="Verdana" w:cs="Verdana"/>
          <w:color w:val="000000"/>
          <w:sz w:val="20"/>
          <w:szCs w:val="20"/>
        </w:rPr>
        <w:t>of Denmark. The EUACI</w:t>
      </w:r>
      <w:r w:rsidR="00AC7043" w:rsidRPr="00775558">
        <w:rPr>
          <w:rFonts w:ascii="Verdana" w:eastAsia="Verdana" w:hAnsi="Verdana" w:cs="Verdana"/>
          <w:color w:val="000000"/>
          <w:sz w:val="20"/>
          <w:szCs w:val="20"/>
        </w:rPr>
        <w:t>’s</w:t>
      </w:r>
      <w:r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strategic objectives are: corruption in Ukraine is reduced; Ukraine advances with anti-corruption reform; and the reconstruction in war-affected areas of Ukraine is implemented within a framework that incorporates transparency, accountability, and integrity.</w:t>
      </w:r>
      <w:r w:rsidR="00E3329C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AC7043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Among its activities, the EUACI is providing support to Ukrainian partners in the field of EU integration </w:t>
      </w:r>
      <w:r w:rsidR="009D5A65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     </w:t>
      </w:r>
      <w:r w:rsidR="00AC7043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and accession. </w:t>
      </w:r>
    </w:p>
    <w:p w14:paraId="4E86764A" w14:textId="0427A5C3" w:rsidR="002A1F86" w:rsidRDefault="00916236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bookmarkStart w:id="1" w:name="_Hlk188280208"/>
      <w:r>
        <w:rPr>
          <w:rFonts w:ascii="Verdana" w:eastAsia="Verdana" w:hAnsi="Verdana" w:cs="Verdana"/>
          <w:color w:val="000000"/>
          <w:sz w:val="20"/>
          <w:szCs w:val="20"/>
        </w:rPr>
        <w:t>According to</w:t>
      </w:r>
      <w:r w:rsidR="00461DF5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Articles of 18 and 18</w:t>
      </w:r>
      <w:r w:rsidR="00461DF5" w:rsidRPr="00775558"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 xml:space="preserve">1 </w:t>
      </w:r>
      <w:r w:rsidR="00461DF5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of Law of Ukraine “On Corruption prevention”, </w:t>
      </w:r>
      <w:r w:rsidR="00450817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the </w:t>
      </w:r>
      <w:r w:rsidR="00EC143F" w:rsidRPr="00775558">
        <w:rPr>
          <w:rFonts w:ascii="Verdana" w:eastAsia="Verdana" w:hAnsi="Verdana" w:cs="Verdana"/>
          <w:color w:val="000000"/>
          <w:sz w:val="20"/>
          <w:szCs w:val="20"/>
        </w:rPr>
        <w:t>National Agency on Corruption Prevention (NACP, Agency)</w:t>
      </w:r>
      <w:r w:rsidR="00450817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450817" w:rsidRPr="00775558">
        <w:rPr>
          <w:rFonts w:ascii="Verdana" w:eastAsia="Verdana" w:hAnsi="Verdana" w:cs="Verdana"/>
          <w:color w:val="000000"/>
          <w:sz w:val="20"/>
          <w:szCs w:val="20"/>
          <w:lang w:val="en-US"/>
        </w:rPr>
        <w:t>is responsible for</w:t>
      </w:r>
      <w:r w:rsidR="00550C48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the following</w:t>
      </w:r>
      <w:r w:rsidR="002A1F86">
        <w:rPr>
          <w:rFonts w:ascii="Verdana" w:eastAsia="Verdana" w:hAnsi="Verdana" w:cs="Verdana"/>
          <w:color w:val="000000"/>
          <w:sz w:val="20"/>
          <w:szCs w:val="20"/>
          <w:lang w:val="en-US"/>
        </w:rPr>
        <w:t>:</w:t>
      </w:r>
    </w:p>
    <w:p w14:paraId="104F2217" w14:textId="51595BB2" w:rsidR="002A1F86" w:rsidRPr="00550C48" w:rsidRDefault="00550C48" w:rsidP="00550C48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50C48">
        <w:rPr>
          <w:rFonts w:ascii="Verdana" w:eastAsia="Verdana" w:hAnsi="Verdana" w:cs="Verdana"/>
          <w:color w:val="000000"/>
          <w:sz w:val="20"/>
          <w:szCs w:val="20"/>
          <w:lang w:val="en-US"/>
        </w:rPr>
        <w:t>D</w:t>
      </w:r>
      <w:r w:rsidR="00450817" w:rsidRPr="00550C48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evelopment of the </w:t>
      </w:r>
      <w:proofErr w:type="gramStart"/>
      <w:r w:rsidR="002A1F86" w:rsidRPr="00550C48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new </w:t>
      </w:r>
      <w:r w:rsidR="00450817" w:rsidRPr="00550C48">
        <w:rPr>
          <w:rFonts w:ascii="Verdana" w:eastAsia="Verdana" w:hAnsi="Verdana" w:cs="Verdana"/>
          <w:color w:val="000000"/>
          <w:sz w:val="20"/>
          <w:szCs w:val="20"/>
        </w:rPr>
        <w:t xml:space="preserve"> Anti</w:t>
      </w:r>
      <w:proofErr w:type="gramEnd"/>
      <w:r w:rsidR="00450817" w:rsidRPr="00550C48">
        <w:rPr>
          <w:rFonts w:ascii="Verdana" w:eastAsia="Verdana" w:hAnsi="Verdana" w:cs="Verdana"/>
          <w:color w:val="000000"/>
          <w:sz w:val="20"/>
          <w:szCs w:val="20"/>
        </w:rPr>
        <w:t xml:space="preserve">-corruption Strategy </w:t>
      </w:r>
      <w:r w:rsidR="00737058" w:rsidRPr="00550C48">
        <w:rPr>
          <w:rFonts w:ascii="Verdana" w:eastAsia="Verdana" w:hAnsi="Verdana" w:cs="Verdana"/>
          <w:color w:val="000000"/>
          <w:sz w:val="20"/>
          <w:szCs w:val="20"/>
        </w:rPr>
        <w:t xml:space="preserve">(Strategy) </w:t>
      </w:r>
      <w:r w:rsidR="002A1F86" w:rsidRPr="00550C48">
        <w:rPr>
          <w:rFonts w:ascii="Verdana" w:eastAsia="Verdana" w:hAnsi="Verdana" w:cs="Verdana"/>
          <w:color w:val="000000"/>
          <w:sz w:val="20"/>
          <w:szCs w:val="20"/>
        </w:rPr>
        <w:t xml:space="preserve">no later than 1 August of the last year of validity period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of </w:t>
      </w:r>
      <w:r w:rsidR="002A1F86" w:rsidRPr="00550C48">
        <w:rPr>
          <w:rFonts w:ascii="Verdana" w:eastAsia="Verdana" w:hAnsi="Verdana" w:cs="Verdana"/>
          <w:color w:val="000000"/>
          <w:sz w:val="20"/>
          <w:szCs w:val="20"/>
        </w:rPr>
        <w:t>existing one</w:t>
      </w:r>
      <w:r>
        <w:rPr>
          <w:rFonts w:ascii="Verdana" w:eastAsia="Verdana" w:hAnsi="Verdana" w:cs="Verdana"/>
          <w:color w:val="000000"/>
          <w:sz w:val="20"/>
          <w:szCs w:val="20"/>
        </w:rPr>
        <w:t>; and</w:t>
      </w:r>
    </w:p>
    <w:p w14:paraId="5835F595" w14:textId="110AFACF" w:rsidR="00550C48" w:rsidRPr="00550C48" w:rsidRDefault="00550C48" w:rsidP="00550C48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50C48">
        <w:rPr>
          <w:rFonts w:ascii="Verdana" w:eastAsia="Verdana" w:hAnsi="Verdana" w:cs="Verdana"/>
          <w:color w:val="000000"/>
          <w:sz w:val="20"/>
          <w:szCs w:val="20"/>
        </w:rPr>
        <w:t>D</w:t>
      </w:r>
      <w:r w:rsidR="002A1F86" w:rsidRPr="00550C48">
        <w:rPr>
          <w:rFonts w:ascii="Verdana" w:eastAsia="Verdana" w:hAnsi="Verdana" w:cs="Verdana"/>
          <w:color w:val="000000"/>
          <w:sz w:val="20"/>
          <w:szCs w:val="20"/>
        </w:rPr>
        <w:t xml:space="preserve">evelopment of State Anti-corruption </w:t>
      </w:r>
      <w:r w:rsidR="00737058" w:rsidRPr="00550C48">
        <w:rPr>
          <w:rFonts w:ascii="Verdana" w:eastAsia="Verdana" w:hAnsi="Verdana" w:cs="Verdana"/>
          <w:color w:val="000000"/>
          <w:sz w:val="20"/>
          <w:szCs w:val="20"/>
        </w:rPr>
        <w:t>Program (SACP) aimed at the Strategy’s implementation</w:t>
      </w:r>
      <w:r w:rsidR="002A1F86" w:rsidRPr="00550C4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2A1F86" w:rsidRPr="00B747A2">
        <w:rPr>
          <w:rFonts w:ascii="Verdana" w:eastAsia="Verdana" w:hAnsi="Verdana" w:cs="Verdana"/>
          <w:color w:val="000000"/>
          <w:sz w:val="20"/>
          <w:szCs w:val="20"/>
        </w:rPr>
        <w:t>no later than</w:t>
      </w:r>
      <w:r w:rsidRPr="00550C48">
        <w:rPr>
          <w:rFonts w:ascii="Verdana" w:eastAsia="Verdana" w:hAnsi="Verdana" w:cs="Verdana"/>
          <w:color w:val="000000"/>
          <w:sz w:val="20"/>
          <w:szCs w:val="20"/>
        </w:rPr>
        <w:t xml:space="preserve"> one month before the deadline for its approval</w:t>
      </w:r>
      <w:r w:rsidR="007345B3">
        <w:rPr>
          <w:rFonts w:ascii="Verdana" w:eastAsia="Verdana" w:hAnsi="Verdana" w:cs="Verdana"/>
          <w:color w:val="000000"/>
          <w:sz w:val="20"/>
          <w:szCs w:val="20"/>
          <w:lang w:val="uk-UA"/>
        </w:rPr>
        <w:t xml:space="preserve"> </w:t>
      </w:r>
      <w:r w:rsidR="007345B3">
        <w:rPr>
          <w:rFonts w:ascii="Verdana" w:eastAsia="Verdana" w:hAnsi="Verdana" w:cs="Verdana"/>
          <w:color w:val="000000"/>
          <w:sz w:val="20"/>
          <w:szCs w:val="20"/>
          <w:lang w:val="en-US"/>
        </w:rPr>
        <w:t>by the Cabinet of Ministers of Ukraine</w:t>
      </w:r>
      <w:r w:rsidRPr="00550C48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E556316" w14:textId="798320C6" w:rsidR="002A1F86" w:rsidRDefault="00550C48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 w:rsidR="005470A3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urrent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Strategy and SACP </w:t>
      </w:r>
      <w:r w:rsidR="005470A3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were previously developed for the period </w:t>
      </w:r>
      <w:r w:rsidR="003008FF">
        <w:rPr>
          <w:rFonts w:ascii="Verdana" w:eastAsia="Verdana" w:hAnsi="Verdana" w:cs="Verdana"/>
          <w:color w:val="000000"/>
          <w:sz w:val="20"/>
          <w:szCs w:val="20"/>
          <w:lang w:val="en-US"/>
        </w:rPr>
        <w:t>through</w:t>
      </w:r>
      <w:r w:rsidR="007345B3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r w:rsidR="005470A3" w:rsidRPr="00775558">
        <w:rPr>
          <w:rFonts w:ascii="Verdana" w:eastAsia="Verdana" w:hAnsi="Verdana" w:cs="Verdana"/>
          <w:color w:val="000000"/>
          <w:sz w:val="20"/>
          <w:szCs w:val="20"/>
        </w:rPr>
        <w:t>2025</w:t>
      </w:r>
      <w:r w:rsidR="001618D7" w:rsidRPr="00775558">
        <w:rPr>
          <w:rFonts w:ascii="Verdana" w:eastAsia="Verdana" w:hAnsi="Verdana" w:cs="Verdana"/>
          <w:color w:val="000000"/>
          <w:sz w:val="20"/>
          <w:szCs w:val="20"/>
          <w:lang w:val="uk-UA"/>
        </w:rPr>
        <w:t xml:space="preserve">. </w:t>
      </w:r>
      <w:r w:rsidR="001618D7" w:rsidRPr="00775558">
        <w:rPr>
          <w:rFonts w:ascii="Verdana" w:eastAsia="Verdana" w:hAnsi="Verdana" w:cs="Verdana"/>
          <w:color w:val="000000"/>
          <w:sz w:val="20"/>
          <w:szCs w:val="20"/>
          <w:lang w:val="en-US"/>
        </w:rPr>
        <w:t>Considering this, the NACP has already started the development of new Strategy and SACP</w:t>
      </w:r>
      <w:r w:rsidR="005A0E3B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for the period of 2026-2029</w:t>
      </w:r>
      <w:r w:rsidR="001618D7" w:rsidRPr="00775558">
        <w:rPr>
          <w:rFonts w:ascii="Verdana" w:eastAsia="Verdana" w:hAnsi="Verdana" w:cs="Verdana"/>
          <w:color w:val="000000"/>
          <w:sz w:val="20"/>
          <w:szCs w:val="20"/>
          <w:lang w:val="en-US"/>
        </w:rPr>
        <w:t>.</w:t>
      </w:r>
      <w:r w:rsidR="005A0E3B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76325F0D" w14:textId="7D34F308" w:rsidR="002A1F86" w:rsidRDefault="002A1F86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r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In this context, </w:t>
      </w:r>
      <w:r w:rsidR="003008FF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based </w:t>
      </w:r>
      <w:r>
        <w:rPr>
          <w:rFonts w:ascii="Verdana" w:eastAsia="Verdana" w:hAnsi="Verdana" w:cs="Verdana"/>
          <w:color w:val="000000"/>
          <w:sz w:val="20"/>
          <w:szCs w:val="20"/>
          <w:lang w:val="en-US"/>
        </w:rPr>
        <w:t>on Indicators for Ukraine Facility Plan 2024-2027, it is expected that the new Strategy and SACP would be</w:t>
      </w:r>
      <w:r w:rsidRPr="002A1F86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adopted by the</w:t>
      </w:r>
      <w:r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r w:rsidRPr="002A1F86">
        <w:rPr>
          <w:rFonts w:ascii="Verdana" w:eastAsia="Verdana" w:hAnsi="Verdana" w:cs="Verdana"/>
          <w:color w:val="000000"/>
          <w:sz w:val="20"/>
          <w:szCs w:val="20"/>
          <w:lang w:val="en-US"/>
        </w:rPr>
        <w:t>Parliament and the Government</w:t>
      </w:r>
      <w:r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of Ukraine</w:t>
      </w:r>
      <w:r w:rsidRPr="002A1F86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respectively </w:t>
      </w:r>
      <w:r w:rsidR="007345B3">
        <w:rPr>
          <w:rFonts w:ascii="Verdana" w:eastAsia="Verdana" w:hAnsi="Verdana" w:cs="Verdana"/>
          <w:color w:val="000000"/>
          <w:sz w:val="20"/>
          <w:szCs w:val="20"/>
          <w:lang w:val="en-US"/>
        </w:rPr>
        <w:t>no later than in</w:t>
      </w:r>
      <w:r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2 Quarter of 2026.</w:t>
      </w:r>
    </w:p>
    <w:p w14:paraId="018CFC28" w14:textId="2400B93A" w:rsidR="00D41DF0" w:rsidRDefault="003C3F69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To support the Agency in achieving this goal, the EUACI launches this tender to </w:t>
      </w:r>
      <w:r w:rsidR="00EC143F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identify </w:t>
      </w:r>
      <w:r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 w:rsidR="00BC0C4A">
        <w:rPr>
          <w:rFonts w:ascii="Verdana" w:eastAsia="Verdana" w:hAnsi="Verdana" w:cs="Verdana"/>
          <w:color w:val="000000"/>
          <w:sz w:val="20"/>
          <w:szCs w:val="20"/>
        </w:rPr>
        <w:t>pool</w:t>
      </w:r>
      <w:r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of experts </w:t>
      </w:r>
      <w:r w:rsidR="00724D99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that will </w:t>
      </w:r>
      <w:r w:rsidR="00234A45">
        <w:rPr>
          <w:rFonts w:ascii="Verdana" w:eastAsia="Verdana" w:hAnsi="Verdana" w:cs="Verdana"/>
          <w:color w:val="000000"/>
          <w:sz w:val="20"/>
          <w:szCs w:val="20"/>
        </w:rPr>
        <w:t>analyse</w:t>
      </w:r>
      <w:r w:rsidR="00D41DF0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corruption risks in the judiciary</w:t>
      </w:r>
      <w:r w:rsidR="00416FAB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482A66" w:rsidRPr="00775558">
        <w:rPr>
          <w:rFonts w:ascii="Verdana" w:eastAsia="Verdana" w:hAnsi="Verdana" w:cs="Verdana"/>
          <w:color w:val="000000"/>
          <w:sz w:val="20"/>
          <w:szCs w:val="20"/>
        </w:rPr>
        <w:t>and provide</w:t>
      </w:r>
      <w:r w:rsidR="00724D99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4D4DB6" w:rsidRPr="00775558">
        <w:rPr>
          <w:rFonts w:ascii="Verdana" w:eastAsia="Verdana" w:hAnsi="Verdana" w:cs="Verdana"/>
          <w:color w:val="000000"/>
          <w:sz w:val="20"/>
          <w:szCs w:val="20"/>
        </w:rPr>
        <w:t>recommendations on how to address those</w:t>
      </w:r>
      <w:r w:rsidR="00724D99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916236">
        <w:rPr>
          <w:rFonts w:ascii="Verdana" w:eastAsia="Verdana" w:hAnsi="Verdana" w:cs="Verdana"/>
          <w:color w:val="000000"/>
          <w:sz w:val="20"/>
          <w:szCs w:val="20"/>
        </w:rPr>
        <w:t>in</w:t>
      </w:r>
      <w:r w:rsidR="00482A66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416FAB" w:rsidRPr="00775558">
        <w:rPr>
          <w:rFonts w:ascii="Verdana" w:eastAsia="Verdana" w:hAnsi="Verdana" w:cs="Verdana"/>
          <w:color w:val="000000"/>
          <w:sz w:val="20"/>
          <w:szCs w:val="20"/>
        </w:rPr>
        <w:t>the relevant part</w:t>
      </w:r>
      <w:r w:rsidR="004D4DB6" w:rsidRPr="00775558">
        <w:rPr>
          <w:rFonts w:ascii="Verdana" w:eastAsia="Verdana" w:hAnsi="Verdana" w:cs="Verdana"/>
          <w:color w:val="000000"/>
          <w:sz w:val="20"/>
          <w:szCs w:val="20"/>
        </w:rPr>
        <w:t>s</w:t>
      </w:r>
      <w:r w:rsidR="00416FAB" w:rsidRPr="00775558">
        <w:rPr>
          <w:rFonts w:ascii="Verdana" w:eastAsia="Verdana" w:hAnsi="Verdana" w:cs="Verdana"/>
          <w:color w:val="000000"/>
          <w:sz w:val="20"/>
          <w:szCs w:val="20"/>
        </w:rPr>
        <w:t xml:space="preserve"> of the future Strategy and SACP.</w:t>
      </w:r>
    </w:p>
    <w:bookmarkEnd w:id="1"/>
    <w:p w14:paraId="2573D9DA" w14:textId="77777777" w:rsidR="00541BDE" w:rsidRPr="00541BDE" w:rsidRDefault="00541BDE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B9F1103" w14:textId="45894E88" w:rsidR="00A2631D" w:rsidRDefault="006E2D7E" w:rsidP="00550C48">
      <w:pPr>
        <w:shd w:val="clear" w:color="auto" w:fill="FFFFFF"/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Objective</w:t>
      </w:r>
      <w:r w:rsidR="007F403C">
        <w:rPr>
          <w:rFonts w:ascii="Verdana" w:eastAsia="Verdana" w:hAnsi="Verdana" w:cs="Verdana"/>
          <w:b/>
          <w:color w:val="000000"/>
          <w:sz w:val="20"/>
          <w:szCs w:val="20"/>
        </w:rPr>
        <w:t>s</w:t>
      </w:r>
      <w:r w:rsidR="00A22D57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14:paraId="46EC870E" w14:textId="50CE5A2A" w:rsidR="005A0E3B" w:rsidRDefault="005A0E3B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To provide the NACP with sectoral expertise in the sphere of </w:t>
      </w:r>
      <w:r w:rsidR="003008FF">
        <w:rPr>
          <w:rFonts w:ascii="Verdana" w:eastAsia="Verdana" w:hAnsi="Verdana" w:cs="Verdana"/>
          <w:color w:val="000000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udiciary to better equip the NACP in preparation of the </w:t>
      </w:r>
      <w:r w:rsidR="00A22D57">
        <w:rPr>
          <w:rFonts w:ascii="Verdana" w:eastAsia="Verdana" w:hAnsi="Verdana" w:cs="Verdana"/>
          <w:color w:val="000000"/>
          <w:sz w:val="20"/>
          <w:szCs w:val="20"/>
        </w:rPr>
        <w:t xml:space="preserve">new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Strategy and the SACP based on </w:t>
      </w:r>
      <w:r w:rsidR="001122A9">
        <w:rPr>
          <w:rFonts w:ascii="Verdana" w:eastAsia="Verdana" w:hAnsi="Verdana" w:cs="Verdana"/>
          <w:color w:val="000000"/>
          <w:sz w:val="20"/>
          <w:szCs w:val="20"/>
        </w:rPr>
        <w:t>evidence-based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policy analysis. </w:t>
      </w:r>
    </w:p>
    <w:p w14:paraId="0A8E2B83" w14:textId="5156E4E7" w:rsidR="007F403C" w:rsidRDefault="005A0E3B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6ECE7F8C" w14:textId="78A3EE1D" w:rsidR="005D2BD0" w:rsidRDefault="006E2D7E" w:rsidP="00550C48">
      <w:pPr>
        <w:spacing w:line="288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Scope of work</w:t>
      </w:r>
      <w:r w:rsidR="0010623A">
        <w:rPr>
          <w:rFonts w:ascii="Verdana" w:eastAsia="Verdana" w:hAnsi="Verdana" w:cs="Verdana"/>
          <w:b/>
          <w:color w:val="000000"/>
          <w:sz w:val="20"/>
          <w:szCs w:val="20"/>
        </w:rPr>
        <w:t xml:space="preserve"> and deliverables</w:t>
      </w:r>
      <w:r w:rsidR="00A22D57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14:paraId="49F85F2F" w14:textId="458345D6" w:rsidR="0016427F" w:rsidRDefault="007F403C" w:rsidP="00550C48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 w:rsidR="006E2D7E" w:rsidRPr="0072690B">
        <w:rPr>
          <w:rFonts w:ascii="Verdana" w:eastAsia="Verdana" w:hAnsi="Verdana" w:cs="Verdana"/>
          <w:color w:val="000000"/>
          <w:sz w:val="20"/>
          <w:szCs w:val="20"/>
        </w:rPr>
        <w:t xml:space="preserve">he assignment includes </w:t>
      </w:r>
      <w:r w:rsidR="00BF150A">
        <w:rPr>
          <w:rFonts w:ascii="Verdana" w:eastAsia="Verdana" w:hAnsi="Verdana" w:cs="Verdana"/>
          <w:color w:val="000000"/>
          <w:sz w:val="20"/>
          <w:szCs w:val="20"/>
        </w:rPr>
        <w:t>the following key tasks</w:t>
      </w:r>
      <w:r w:rsidR="006E2D7E" w:rsidRPr="0072690B"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4287C376" w14:textId="6411A968" w:rsidR="00B747A2" w:rsidRDefault="00916236" w:rsidP="002D44C6">
      <w:pPr>
        <w:spacing w:line="288" w:lineRule="auto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lang w:val="en-US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Under the guidance of the NACP,</w:t>
      </w:r>
      <w:r w:rsidR="009D1E96">
        <w:rPr>
          <w:rFonts w:ascii="Verdana" w:eastAsia="Verdana" w:hAnsi="Verdana" w:cs="Verdana"/>
          <w:color w:val="000000"/>
          <w:sz w:val="20"/>
          <w:szCs w:val="20"/>
          <w:lang w:val="uk-UA"/>
        </w:rPr>
        <w:t xml:space="preserve"> </w:t>
      </w:r>
      <w:r w:rsidR="009D1E96" w:rsidRPr="002D44C6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to </w:t>
      </w:r>
      <w:r w:rsidR="003008FF">
        <w:rPr>
          <w:rFonts w:ascii="Verdana" w:eastAsia="Verdana" w:hAnsi="Verdana" w:cs="Verdana"/>
          <w:color w:val="000000"/>
          <w:sz w:val="20"/>
          <w:szCs w:val="20"/>
          <w:lang w:val="en-US"/>
        </w:rPr>
        <w:t>jointly prepare</w:t>
      </w:r>
      <w:r w:rsidR="009D1E96" w:rsidRPr="002D44C6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an analytical report on the existing corruption risks in the judiciary (</w:t>
      </w:r>
      <w:r w:rsidR="009D1E96" w:rsidRPr="00B747A2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covering key </w:t>
      </w:r>
      <w:r w:rsidR="009F7CDB" w:rsidRPr="00B747A2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i.e., </w:t>
      </w:r>
      <w:r w:rsidR="009D1E96" w:rsidRPr="00B747A2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processes such as court formation and liquidation, main judicial governance activities, organizational and financial support for courts, </w:t>
      </w:r>
      <w:r w:rsidR="003008FF" w:rsidRPr="00B747A2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and mechanisms </w:t>
      </w:r>
      <w:r w:rsidR="003008FF" w:rsidRPr="00B747A2">
        <w:rPr>
          <w:rFonts w:ascii="Verdana" w:eastAsia="Verdana" w:hAnsi="Verdana" w:cs="Verdana"/>
          <w:color w:val="000000"/>
          <w:sz w:val="20"/>
          <w:szCs w:val="20"/>
        </w:rPr>
        <w:t>to ensure</w:t>
      </w:r>
      <w:r w:rsidR="007345B3" w:rsidRPr="00B747A2">
        <w:rPr>
          <w:rFonts w:ascii="Verdana" w:eastAsia="Verdana" w:hAnsi="Verdana" w:cs="Verdana"/>
          <w:color w:val="000000"/>
          <w:sz w:val="20"/>
          <w:szCs w:val="20"/>
        </w:rPr>
        <w:t xml:space="preserve"> the integrity, independence and professionalism of judges </w:t>
      </w:r>
      <w:r w:rsidR="003008FF" w:rsidRPr="00B747A2">
        <w:rPr>
          <w:rFonts w:ascii="Verdana" w:eastAsia="Verdana" w:hAnsi="Verdana" w:cs="Verdana"/>
          <w:color w:val="000000"/>
          <w:sz w:val="20"/>
          <w:szCs w:val="20"/>
        </w:rPr>
        <w:t>and judicial candidates</w:t>
      </w:r>
      <w:r w:rsidR="007345B3" w:rsidRPr="00B747A2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r w:rsidR="009D1E96" w:rsidRPr="00B747A2">
        <w:rPr>
          <w:rFonts w:ascii="Verdana" w:eastAsia="Verdana" w:hAnsi="Verdana" w:cs="Verdana"/>
          <w:color w:val="000000"/>
          <w:sz w:val="20"/>
          <w:szCs w:val="20"/>
          <w:lang w:val="en-US"/>
        </w:rPr>
        <w:t>etc.)</w:t>
      </w:r>
      <w:r w:rsidR="005A0E3B" w:rsidRPr="002D44C6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r w:rsidR="005A0E3B" w:rsidRPr="00B747A2">
        <w:rPr>
          <w:rFonts w:ascii="Verdana" w:eastAsia="Verdana" w:hAnsi="Verdana" w:cs="Verdana"/>
          <w:b/>
          <w:bCs/>
          <w:color w:val="000000"/>
          <w:sz w:val="20"/>
          <w:szCs w:val="20"/>
          <w:lang w:val="en-US"/>
        </w:rPr>
        <w:t>by the end of May 2025</w:t>
      </w:r>
      <w:r w:rsidR="009D1E96" w:rsidRPr="00B747A2">
        <w:rPr>
          <w:rFonts w:ascii="Verdana" w:eastAsia="Verdana" w:hAnsi="Verdana" w:cs="Verdana"/>
          <w:b/>
          <w:bCs/>
          <w:color w:val="000000"/>
          <w:sz w:val="20"/>
          <w:szCs w:val="20"/>
          <w:lang w:val="en-US"/>
        </w:rPr>
        <w:t>;</w:t>
      </w:r>
    </w:p>
    <w:p w14:paraId="382ADA23" w14:textId="77777777" w:rsidR="00B747A2" w:rsidRPr="00B747A2" w:rsidRDefault="00B747A2" w:rsidP="002D44C6">
      <w:pPr>
        <w:spacing w:line="288" w:lineRule="auto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lang w:val="en-US"/>
        </w:rPr>
      </w:pPr>
    </w:p>
    <w:p w14:paraId="1E806FC7" w14:textId="491A2E9A" w:rsidR="00413442" w:rsidRPr="002D44C6" w:rsidRDefault="009D1E96" w:rsidP="002D44C6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Under the guidance of the NACP, to </w:t>
      </w:r>
      <w:r w:rsidR="003008FF">
        <w:rPr>
          <w:rFonts w:ascii="Verdana" w:eastAsia="Verdana" w:hAnsi="Verdana" w:cs="Verdana"/>
          <w:color w:val="000000"/>
          <w:sz w:val="20"/>
          <w:szCs w:val="20"/>
        </w:rPr>
        <w:t>jointly prepare</w:t>
      </w:r>
      <w:r w:rsidR="00C2788B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first drafts of </w:t>
      </w:r>
      <w:r w:rsidR="00F74F92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structured proposals </w:t>
      </w:r>
      <w:r w:rsidR="00B747A2">
        <w:rPr>
          <w:rFonts w:ascii="Verdana" w:eastAsia="Verdana" w:hAnsi="Verdana" w:cs="Verdana"/>
          <w:color w:val="000000"/>
          <w:sz w:val="20"/>
          <w:szCs w:val="20"/>
        </w:rPr>
        <w:t xml:space="preserve">                   </w:t>
      </w:r>
      <w:r w:rsidR="00F74F92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for related parts of the </w:t>
      </w:r>
      <w:r w:rsidR="00A22D57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new </w:t>
      </w:r>
      <w:r w:rsidR="00F74F92" w:rsidRPr="002D44C6">
        <w:rPr>
          <w:rFonts w:ascii="Verdana" w:eastAsia="Verdana" w:hAnsi="Verdana" w:cs="Verdana"/>
          <w:color w:val="000000"/>
          <w:sz w:val="20"/>
          <w:szCs w:val="20"/>
        </w:rPr>
        <w:t>Strategy and SACP (based on the findings of</w:t>
      </w:r>
      <w:r w:rsidR="000D73B4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 expert analytics</w:t>
      </w:r>
      <w:r w:rsidR="00F74F92" w:rsidRPr="002D44C6">
        <w:rPr>
          <w:rFonts w:ascii="Verdana" w:eastAsia="Verdana" w:hAnsi="Verdana" w:cs="Verdana"/>
          <w:color w:val="000000"/>
          <w:sz w:val="20"/>
          <w:szCs w:val="20"/>
        </w:rPr>
        <w:t>)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413442" w:rsidRPr="00B747A2">
        <w:rPr>
          <w:rFonts w:ascii="Verdana" w:eastAsia="Verdana" w:hAnsi="Verdana" w:cs="Verdana"/>
          <w:b/>
          <w:bCs/>
          <w:color w:val="000000"/>
          <w:sz w:val="20"/>
          <w:szCs w:val="20"/>
        </w:rPr>
        <w:t>by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413442" w:rsidRPr="00B747A2">
        <w:rPr>
          <w:rFonts w:ascii="Verdana" w:eastAsia="Verdana" w:hAnsi="Verdana" w:cs="Verdana"/>
          <w:b/>
          <w:bCs/>
          <w:color w:val="000000"/>
          <w:sz w:val="20"/>
          <w:szCs w:val="20"/>
        </w:rPr>
        <w:t>the end of May 2025;</w:t>
      </w:r>
    </w:p>
    <w:p w14:paraId="620D4DBE" w14:textId="779E3D4E" w:rsidR="00413442" w:rsidRPr="002D44C6" w:rsidRDefault="003008FF" w:rsidP="002D44C6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 jointly prepare</w:t>
      </w:r>
      <w:r w:rsidR="00C2788B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 a document with </w:t>
      </w:r>
      <w:r w:rsidR="001122A9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updates of structured proposals for related parts of the </w:t>
      </w:r>
      <w:r w:rsidR="00550C48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new 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>SAC</w:t>
      </w:r>
      <w:r w:rsidR="001122A9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P 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after the approval of the </w:t>
      </w:r>
      <w:r w:rsidR="00550C48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new 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>Strategy;</w:t>
      </w:r>
    </w:p>
    <w:p w14:paraId="60746050" w14:textId="6E0D3063" w:rsidR="00413442" w:rsidRPr="002D44C6" w:rsidRDefault="003008FF" w:rsidP="002D44C6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To p</w:t>
      </w:r>
      <w:r w:rsidRPr="002D44C6">
        <w:rPr>
          <w:rFonts w:ascii="Verdana" w:hAnsi="Verdana" w:cstheme="minorHAnsi"/>
          <w:sz w:val="20"/>
          <w:szCs w:val="20"/>
        </w:rPr>
        <w:t xml:space="preserve">rovide </w:t>
      </w:r>
      <w:r w:rsidR="00413442" w:rsidRPr="002D44C6">
        <w:rPr>
          <w:rFonts w:ascii="Verdana" w:hAnsi="Verdana" w:cstheme="minorHAnsi"/>
          <w:sz w:val="20"/>
          <w:szCs w:val="20"/>
        </w:rPr>
        <w:t xml:space="preserve">expert input and consultations </w:t>
      </w:r>
      <w:r w:rsidR="001122A9" w:rsidRPr="002D44C6">
        <w:rPr>
          <w:rFonts w:ascii="Verdana" w:hAnsi="Verdana" w:cstheme="minorHAnsi"/>
          <w:sz w:val="20"/>
          <w:szCs w:val="20"/>
        </w:rPr>
        <w:t xml:space="preserve">regarding related parts of the </w:t>
      </w:r>
      <w:r w:rsidR="00A22D57" w:rsidRPr="002D44C6">
        <w:rPr>
          <w:rFonts w:ascii="Verdana" w:hAnsi="Verdana" w:cstheme="minorHAnsi"/>
          <w:sz w:val="20"/>
          <w:szCs w:val="20"/>
        </w:rPr>
        <w:t xml:space="preserve">new </w:t>
      </w:r>
      <w:r w:rsidR="001122A9" w:rsidRPr="002D44C6">
        <w:rPr>
          <w:rFonts w:ascii="Verdana" w:hAnsi="Verdana" w:cstheme="minorHAnsi"/>
          <w:sz w:val="20"/>
          <w:szCs w:val="20"/>
        </w:rPr>
        <w:t>Strategy and SACP</w:t>
      </w:r>
      <w:r w:rsidR="00B747A2">
        <w:rPr>
          <w:rFonts w:ascii="Verdana" w:hAnsi="Verdana" w:cstheme="minorHAnsi"/>
          <w:sz w:val="20"/>
          <w:szCs w:val="20"/>
        </w:rPr>
        <w:t xml:space="preserve"> </w:t>
      </w:r>
      <w:r w:rsidR="00413442" w:rsidRPr="002D44C6">
        <w:rPr>
          <w:rFonts w:ascii="Verdana" w:hAnsi="Verdana" w:cstheme="minorHAnsi"/>
          <w:sz w:val="20"/>
          <w:szCs w:val="20"/>
        </w:rPr>
        <w:t>in oral and written format upon the request of the NACP;</w:t>
      </w:r>
    </w:p>
    <w:p w14:paraId="34F71D4A" w14:textId="5D2D2423" w:rsidR="00916236" w:rsidRPr="002D44C6" w:rsidRDefault="003008FF" w:rsidP="002D44C6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To p</w:t>
      </w:r>
      <w:r w:rsidRPr="002D44C6">
        <w:rPr>
          <w:rFonts w:ascii="Verdana" w:hAnsi="Verdana" w:cstheme="minorHAnsi"/>
          <w:sz w:val="20"/>
          <w:szCs w:val="20"/>
        </w:rPr>
        <w:t xml:space="preserve">articipate </w:t>
      </w:r>
      <w:r w:rsidR="00413442" w:rsidRPr="002D44C6">
        <w:rPr>
          <w:rFonts w:ascii="Verdana" w:hAnsi="Verdana" w:cstheme="minorHAnsi"/>
          <w:sz w:val="20"/>
          <w:szCs w:val="20"/>
        </w:rPr>
        <w:t xml:space="preserve">in public expert discussions of </w:t>
      </w:r>
      <w:r w:rsidR="001122A9" w:rsidRPr="002D44C6">
        <w:rPr>
          <w:rFonts w:ascii="Verdana" w:hAnsi="Verdana" w:cstheme="minorHAnsi"/>
          <w:sz w:val="20"/>
          <w:szCs w:val="20"/>
        </w:rPr>
        <w:t xml:space="preserve">related parts of the </w:t>
      </w:r>
      <w:r w:rsidR="00A22D57" w:rsidRPr="002D44C6">
        <w:rPr>
          <w:rFonts w:ascii="Verdana" w:hAnsi="Verdana" w:cstheme="minorHAnsi"/>
          <w:sz w:val="20"/>
          <w:szCs w:val="20"/>
        </w:rPr>
        <w:t xml:space="preserve">new </w:t>
      </w:r>
      <w:r w:rsidR="001122A9" w:rsidRPr="002D44C6">
        <w:rPr>
          <w:rFonts w:ascii="Verdana" w:hAnsi="Verdana" w:cstheme="minorHAnsi"/>
          <w:sz w:val="20"/>
          <w:szCs w:val="20"/>
        </w:rPr>
        <w:t xml:space="preserve">Strategy and SACP </w:t>
      </w:r>
      <w:r w:rsidR="00413442" w:rsidRPr="002D44C6">
        <w:rPr>
          <w:rFonts w:ascii="Verdana" w:hAnsi="Verdana" w:cstheme="minorHAnsi"/>
          <w:sz w:val="20"/>
          <w:szCs w:val="20"/>
        </w:rPr>
        <w:t>based on request of the NACP.</w:t>
      </w:r>
      <w:bookmarkStart w:id="2" w:name="_heading=h.gjdgxs" w:colFirst="0" w:colLast="0"/>
      <w:bookmarkStart w:id="3" w:name="bookmark=id.30j0zll" w:colFirst="0" w:colLast="0"/>
      <w:bookmarkStart w:id="4" w:name="_heading=h.1fob9te" w:colFirst="0" w:colLast="0"/>
      <w:bookmarkEnd w:id="2"/>
      <w:bookmarkEnd w:id="3"/>
      <w:bookmarkEnd w:id="4"/>
    </w:p>
    <w:p w14:paraId="6C12AEF4" w14:textId="77777777" w:rsidR="00550C48" w:rsidRPr="002D44C6" w:rsidRDefault="00550C48" w:rsidP="002D44C6">
      <w:pPr>
        <w:pStyle w:val="ListParagraph"/>
        <w:spacing w:line="288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E6CEFBD" w14:textId="7CAB0777" w:rsidR="00413442" w:rsidRPr="002D44C6" w:rsidRDefault="009D1E96" w:rsidP="002D44C6">
      <w:pPr>
        <w:pStyle w:val="NormalWeb"/>
        <w:spacing w:before="0" w:beforeAutospacing="0" w:after="0" w:afterAutospacing="0" w:line="288" w:lineRule="auto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2D44C6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When carrying out these tasks, experts should avoid assessment of Ukraine’s </w:t>
      </w:r>
      <w:r w:rsidR="00531BDA" w:rsidRPr="002D44C6">
        <w:rPr>
          <w:rFonts w:ascii="Verdana" w:eastAsia="Verdana" w:hAnsi="Verdana" w:cs="Verdana"/>
          <w:b/>
          <w:bCs/>
          <w:color w:val="000000"/>
          <w:sz w:val="20"/>
          <w:szCs w:val="20"/>
        </w:rPr>
        <w:t>fulfilment</w:t>
      </w:r>
      <w:r w:rsidRPr="002D44C6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of its EU and other international obligations and commitments</w:t>
      </w:r>
      <w:r w:rsidR="001E155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. </w:t>
      </w:r>
      <w:r w:rsidR="00234A45">
        <w:rPr>
          <w:rFonts w:ascii="Verdana" w:eastAsia="Verdana" w:hAnsi="Verdana" w:cs="Verdana"/>
          <w:b/>
          <w:bCs/>
          <w:color w:val="000000"/>
          <w:sz w:val="20"/>
          <w:szCs w:val="20"/>
        </w:rPr>
        <w:t>E</w:t>
      </w:r>
      <w:r w:rsidR="001E155E">
        <w:rPr>
          <w:rFonts w:ascii="Verdana" w:eastAsia="Verdana" w:hAnsi="Verdana" w:cs="Verdana"/>
          <w:b/>
          <w:bCs/>
          <w:color w:val="000000"/>
          <w:sz w:val="20"/>
          <w:szCs w:val="20"/>
        </w:rPr>
        <w:t>xpert</w:t>
      </w:r>
      <w:r w:rsidR="00234A45">
        <w:rPr>
          <w:rFonts w:ascii="Verdana" w:eastAsia="Verdana" w:hAnsi="Verdana" w:cs="Verdana"/>
          <w:b/>
          <w:bCs/>
          <w:color w:val="000000"/>
          <w:sz w:val="20"/>
          <w:szCs w:val="20"/>
        </w:rPr>
        <w:t>s</w:t>
      </w:r>
      <w:r w:rsidR="001E155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can make an overview of decisions of relevant EU and other institutions on such commitments. </w:t>
      </w:r>
    </w:p>
    <w:p w14:paraId="4D61AD38" w14:textId="77777777" w:rsidR="00550C48" w:rsidRPr="002D44C6" w:rsidRDefault="00550C48" w:rsidP="002D44C6">
      <w:pPr>
        <w:pStyle w:val="NormalWeb"/>
        <w:spacing w:before="0" w:beforeAutospacing="0" w:after="0" w:afterAutospacing="0" w:line="288" w:lineRule="auto"/>
        <w:jc w:val="both"/>
        <w:rPr>
          <w:rFonts w:eastAsia="Verdana"/>
        </w:rPr>
      </w:pPr>
    </w:p>
    <w:p w14:paraId="39F79C96" w14:textId="5042D9A3" w:rsidR="00AC7043" w:rsidRPr="002D44C6" w:rsidRDefault="00BF150A" w:rsidP="002D44C6">
      <w:pPr>
        <w:spacing w:line="288" w:lineRule="auto"/>
        <w:jc w:val="both"/>
        <w:rPr>
          <w:rFonts w:ascii="Verdana" w:hAnsi="Verdana" w:cstheme="minorHAnsi"/>
          <w:sz w:val="20"/>
          <w:szCs w:val="20"/>
        </w:rPr>
      </w:pPr>
      <w:r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Electronic copies </w:t>
      </w:r>
      <w:r w:rsidR="009D1E96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of the deliverables made </w:t>
      </w:r>
      <w:r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should be sent </w:t>
      </w:r>
      <w:r w:rsidR="009D1E96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in Ukrainian </w:t>
      </w:r>
      <w:r w:rsidRPr="002D44C6">
        <w:rPr>
          <w:rFonts w:ascii="Verdana" w:eastAsia="Verdana" w:hAnsi="Verdana" w:cs="Verdana"/>
          <w:color w:val="000000"/>
          <w:sz w:val="20"/>
          <w:szCs w:val="20"/>
        </w:rPr>
        <w:t>by email</w:t>
      </w:r>
      <w:r w:rsidR="00A22D57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2D44C6">
        <w:rPr>
          <w:rFonts w:ascii="Verdana" w:eastAsia="Verdana" w:hAnsi="Verdana" w:cs="Verdana"/>
          <w:color w:val="000000"/>
          <w:sz w:val="20"/>
          <w:szCs w:val="20"/>
        </w:rPr>
        <w:t>to the designated EUACI contact person.</w:t>
      </w:r>
      <w:r w:rsidR="0056611C" w:rsidRPr="002D44C6">
        <w:rPr>
          <w:rFonts w:ascii="Verdana" w:hAnsi="Verdana" w:cstheme="minorHAnsi"/>
          <w:sz w:val="20"/>
          <w:szCs w:val="20"/>
        </w:rPr>
        <w:t xml:space="preserve"> </w:t>
      </w:r>
    </w:p>
    <w:p w14:paraId="410B1362" w14:textId="77777777" w:rsidR="00C547C9" w:rsidRPr="002D44C6" w:rsidRDefault="00C547C9" w:rsidP="002D44C6">
      <w:pPr>
        <w:spacing w:line="288" w:lineRule="auto"/>
        <w:jc w:val="both"/>
        <w:rPr>
          <w:rFonts w:eastAsia="Verdana" w:cs="Verdana"/>
          <w:color w:val="000000"/>
          <w:u w:val="single"/>
        </w:rPr>
      </w:pPr>
    </w:p>
    <w:p w14:paraId="66FA5EB5" w14:textId="645710F3" w:rsidR="005D2BD0" w:rsidRPr="002D44C6" w:rsidRDefault="006E2D7E" w:rsidP="002D44C6">
      <w:pPr>
        <w:spacing w:line="288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2D44C6">
        <w:rPr>
          <w:rFonts w:ascii="Verdana" w:eastAsia="Verdana" w:hAnsi="Verdana" w:cs="Verdana"/>
          <w:b/>
          <w:color w:val="000000"/>
          <w:sz w:val="20"/>
          <w:szCs w:val="20"/>
        </w:rPr>
        <w:t>Timeline</w:t>
      </w:r>
      <w:r w:rsidR="00C547C9" w:rsidRPr="002D44C6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14:paraId="1B8C8A41" w14:textId="5FE2DF9F" w:rsidR="004C18EB" w:rsidRDefault="006E2D7E" w:rsidP="002D44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5" w:name="_heading=h.3znysh7" w:colFirst="0" w:colLast="0"/>
      <w:bookmarkEnd w:id="5"/>
      <w:r w:rsidRPr="002D44C6">
        <w:rPr>
          <w:rFonts w:ascii="Verdana" w:eastAsia="Verdana" w:hAnsi="Verdana" w:cs="Verdana"/>
          <w:color w:val="000000"/>
          <w:sz w:val="20"/>
          <w:szCs w:val="20"/>
        </w:rPr>
        <w:t>The intended commencement date is the date of signature of contract</w:t>
      </w:r>
      <w:r w:rsidR="000D73B4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s </w:t>
      </w:r>
      <w:r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with the </w:t>
      </w:r>
      <w:r w:rsidR="006D5FDF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selected </w:t>
      </w:r>
      <w:r w:rsidR="00CF5F6B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               </w:t>
      </w:r>
      <w:r w:rsidR="006D5FDF" w:rsidRPr="002D44C6">
        <w:rPr>
          <w:rFonts w:ascii="Verdana" w:eastAsia="Verdana" w:hAnsi="Verdana" w:cs="Verdana"/>
          <w:color w:val="000000"/>
          <w:sz w:val="20"/>
          <w:szCs w:val="20"/>
        </w:rPr>
        <w:t>service provider</w:t>
      </w:r>
      <w:r w:rsidR="00C558B6" w:rsidRPr="002D44C6">
        <w:rPr>
          <w:rFonts w:ascii="Verdana" w:eastAsia="Verdana" w:hAnsi="Verdana" w:cs="Verdana"/>
          <w:color w:val="000000"/>
          <w:sz w:val="20"/>
          <w:szCs w:val="20"/>
        </w:rPr>
        <w:t>(s)</w:t>
      </w:r>
      <w:r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>The m</w:t>
      </w:r>
      <w:r w:rsidR="003D358B">
        <w:rPr>
          <w:rFonts w:ascii="Verdana" w:eastAsia="Verdana" w:hAnsi="Verdana" w:cs="Verdana"/>
          <w:color w:val="000000"/>
          <w:sz w:val="20"/>
          <w:szCs w:val="20"/>
        </w:rPr>
        <w:t>ini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mum number of days </w:t>
      </w:r>
      <w:r w:rsidR="001122A9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for delivering of consultancy services 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is 30 days </w:t>
      </w:r>
      <w:r w:rsidR="00A22D57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for each expert </w:t>
      </w:r>
      <w:r w:rsidR="00413442" w:rsidRPr="002D44C6">
        <w:rPr>
          <w:rFonts w:ascii="Verdana" w:eastAsia="Verdana" w:hAnsi="Verdana" w:cs="Verdana"/>
          <w:color w:val="000000"/>
          <w:sz w:val="20"/>
          <w:szCs w:val="20"/>
        </w:rPr>
        <w:t xml:space="preserve">with the total duration of the contract </w:t>
      </w:r>
      <w:r w:rsidR="00413442" w:rsidRPr="002D44C6">
        <w:rPr>
          <w:rFonts w:ascii="Verdana" w:eastAsia="Verdana" w:hAnsi="Verdana" w:cs="Verdana"/>
          <w:b/>
          <w:bCs/>
          <w:color w:val="000000"/>
          <w:sz w:val="20"/>
          <w:szCs w:val="20"/>
        </w:rPr>
        <w:t>till</w:t>
      </w:r>
      <w:r w:rsidR="001122A9" w:rsidRPr="002D44C6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A22D57" w:rsidRPr="002D44C6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30 </w:t>
      </w:r>
      <w:r w:rsidR="00413442" w:rsidRPr="002D44C6">
        <w:rPr>
          <w:rFonts w:ascii="Verdana" w:eastAsia="Verdana" w:hAnsi="Verdana" w:cs="Verdana"/>
          <w:b/>
          <w:bCs/>
          <w:color w:val="000000"/>
          <w:sz w:val="20"/>
          <w:szCs w:val="20"/>
        </w:rPr>
        <w:t>June</w:t>
      </w:r>
      <w:r w:rsidR="00413442" w:rsidRPr="002D44C6">
        <w:rPr>
          <w:rFonts w:ascii="Verdana" w:eastAsia="Verdana" w:hAnsi="Verdana" w:cs="Verdana"/>
          <w:b/>
          <w:color w:val="000000"/>
          <w:sz w:val="20"/>
          <w:szCs w:val="20"/>
        </w:rPr>
        <w:t xml:space="preserve"> 2026</w:t>
      </w:r>
      <w:r w:rsidR="00706168" w:rsidRPr="002D44C6">
        <w:rPr>
          <w:rFonts w:ascii="Verdana" w:eastAsia="Verdana" w:hAnsi="Verdana" w:cs="Verdana"/>
          <w:b/>
          <w:color w:val="000000"/>
          <w:sz w:val="20"/>
          <w:szCs w:val="20"/>
        </w:rPr>
        <w:t>.</w:t>
      </w:r>
    </w:p>
    <w:p w14:paraId="7651B00C" w14:textId="77777777" w:rsidR="00BF0E90" w:rsidRDefault="00BF0E90" w:rsidP="002D44C6">
      <w:pPr>
        <w:spacing w:line="288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9A0A07F" w14:textId="0339CDA8" w:rsidR="005D2BD0" w:rsidRDefault="006E2D7E" w:rsidP="002D44C6">
      <w:pPr>
        <w:spacing w:line="288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Requirements to the Service Provider</w:t>
      </w:r>
      <w:r w:rsidR="00B20723">
        <w:rPr>
          <w:rFonts w:ascii="Verdana" w:eastAsia="Verdana" w:hAnsi="Verdana" w:cs="Verdana"/>
          <w:b/>
          <w:color w:val="000000"/>
          <w:sz w:val="20"/>
          <w:szCs w:val="20"/>
        </w:rPr>
        <w:t>/s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14:paraId="223A33E1" w14:textId="186DB342" w:rsidR="005D2BD0" w:rsidRDefault="006E2D7E" w:rsidP="002D44C6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The contract </w:t>
      </w:r>
      <w:r w:rsidR="00EA502E">
        <w:rPr>
          <w:rFonts w:ascii="Verdana" w:eastAsia="Verdana" w:hAnsi="Verdana" w:cs="Verdana"/>
          <w:color w:val="000000"/>
          <w:sz w:val="20"/>
          <w:szCs w:val="20"/>
        </w:rPr>
        <w:t xml:space="preserve">can </w:t>
      </w:r>
      <w:r w:rsidR="00406CA0">
        <w:rPr>
          <w:rFonts w:ascii="Verdana" w:eastAsia="Verdana" w:hAnsi="Verdana" w:cs="Verdana"/>
          <w:color w:val="000000"/>
          <w:sz w:val="20"/>
          <w:szCs w:val="20"/>
        </w:rPr>
        <w:t>be awarded to</w:t>
      </w:r>
      <w:r w:rsidR="000D73B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0D73B4" w:rsidRPr="003D43C4">
        <w:rPr>
          <w:rFonts w:ascii="Verdana" w:eastAsia="Verdana" w:hAnsi="Verdana" w:cs="Verdana"/>
          <w:color w:val="000000"/>
          <w:sz w:val="20"/>
          <w:szCs w:val="20"/>
        </w:rPr>
        <w:t xml:space="preserve">the </w:t>
      </w:r>
      <w:r w:rsidR="003D43C4" w:rsidRPr="00531BDA">
        <w:rPr>
          <w:rFonts w:ascii="Verdana" w:eastAsia="Verdana" w:hAnsi="Verdana" w:cs="Verdana"/>
          <w:color w:val="000000"/>
          <w:sz w:val="20"/>
          <w:szCs w:val="20"/>
        </w:rPr>
        <w:t xml:space="preserve">three </w:t>
      </w:r>
      <w:r w:rsidR="003C2BA0" w:rsidRPr="00531BDA">
        <w:rPr>
          <w:rFonts w:ascii="Verdana" w:eastAsia="Verdana" w:hAnsi="Verdana" w:cs="Verdana"/>
          <w:color w:val="000000"/>
          <w:sz w:val="20"/>
          <w:szCs w:val="20"/>
        </w:rPr>
        <w:t>experts</w:t>
      </w:r>
      <w:r w:rsidR="003C2BA0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706168">
        <w:rPr>
          <w:rFonts w:ascii="Verdana" w:eastAsia="Verdana" w:hAnsi="Verdana" w:cs="Verdana"/>
          <w:color w:val="000000"/>
          <w:sz w:val="20"/>
          <w:szCs w:val="20"/>
        </w:rPr>
        <w:t>meeting</w:t>
      </w:r>
      <w:r w:rsidR="006D5FD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the following criteria: </w:t>
      </w:r>
    </w:p>
    <w:p w14:paraId="2269A9A4" w14:textId="72667056" w:rsidR="00D05724" w:rsidRDefault="00C829B9" w:rsidP="002D44C6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="Verdana" w:hAnsi="Verdana" w:cstheme="minorHAnsi"/>
          <w:sz w:val="20"/>
          <w:szCs w:val="20"/>
        </w:rPr>
      </w:pPr>
      <w:bookmarkStart w:id="6" w:name="_Hlk188280367"/>
      <w:r>
        <w:rPr>
          <w:rFonts w:ascii="Verdana" w:hAnsi="Verdana" w:cstheme="minorHAnsi"/>
          <w:sz w:val="20"/>
          <w:szCs w:val="20"/>
        </w:rPr>
        <w:t>P</w:t>
      </w:r>
      <w:r w:rsidR="00AA5DC7" w:rsidRPr="0023524A">
        <w:rPr>
          <w:rFonts w:ascii="Verdana" w:hAnsi="Verdana" w:cstheme="minorHAnsi"/>
          <w:sz w:val="20"/>
          <w:szCs w:val="20"/>
        </w:rPr>
        <w:t>rivate entrepreneurs under Ukrainian legislation</w:t>
      </w:r>
      <w:r w:rsidR="00D05724">
        <w:rPr>
          <w:rFonts w:ascii="Verdana" w:hAnsi="Verdana" w:cstheme="minorHAnsi"/>
          <w:sz w:val="20"/>
          <w:szCs w:val="20"/>
        </w:rPr>
        <w:t>;</w:t>
      </w:r>
    </w:p>
    <w:p w14:paraId="2A0819E9" w14:textId="6BCE9833" w:rsidR="00B531D9" w:rsidRPr="0023524A" w:rsidRDefault="00D05724" w:rsidP="002D44C6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</w:t>
      </w:r>
      <w:r w:rsidR="00CF7883" w:rsidRPr="0023524A">
        <w:rPr>
          <w:rFonts w:ascii="Verdana" w:hAnsi="Verdana" w:cstheme="minorHAnsi"/>
          <w:sz w:val="20"/>
          <w:szCs w:val="20"/>
        </w:rPr>
        <w:t>xperience of analytical work</w:t>
      </w:r>
      <w:r w:rsidR="00531BDA">
        <w:rPr>
          <w:rFonts w:ascii="Verdana" w:hAnsi="Verdana" w:cstheme="minorHAnsi"/>
          <w:sz w:val="20"/>
          <w:szCs w:val="20"/>
        </w:rPr>
        <w:t xml:space="preserve"> </w:t>
      </w:r>
      <w:r w:rsidR="00CF7883" w:rsidRPr="0023524A">
        <w:rPr>
          <w:rFonts w:ascii="Verdana" w:hAnsi="Verdana" w:cstheme="minorHAnsi"/>
          <w:sz w:val="20"/>
          <w:szCs w:val="20"/>
        </w:rPr>
        <w:t xml:space="preserve">(such as </w:t>
      </w:r>
      <w:r w:rsidR="00CF7883" w:rsidRPr="0023524A">
        <w:rPr>
          <w:rFonts w:ascii="Verdana" w:hAnsi="Verdana" w:cstheme="minorHAnsi"/>
          <w:sz w:val="20"/>
          <w:szCs w:val="20"/>
          <w:lang w:val="en-US"/>
        </w:rPr>
        <w:t xml:space="preserve">conducting studies and research, </w:t>
      </w:r>
      <w:r w:rsidR="00CF7883" w:rsidRPr="0023524A">
        <w:rPr>
          <w:rFonts w:ascii="Verdana" w:hAnsi="Verdana" w:cstheme="minorHAnsi"/>
          <w:sz w:val="20"/>
          <w:szCs w:val="20"/>
        </w:rPr>
        <w:t xml:space="preserve">policy analysis, policy advise, etc.) in the </w:t>
      </w:r>
      <w:r w:rsidR="005611DC" w:rsidRPr="0023524A">
        <w:rPr>
          <w:rFonts w:ascii="Verdana" w:hAnsi="Verdana" w:cstheme="minorHAnsi"/>
          <w:sz w:val="20"/>
          <w:szCs w:val="20"/>
        </w:rPr>
        <w:t xml:space="preserve">sphere of </w:t>
      </w:r>
      <w:r w:rsidR="00A81A6F" w:rsidRPr="0023524A">
        <w:rPr>
          <w:rFonts w:ascii="Verdana" w:hAnsi="Verdana" w:cstheme="minorHAnsi"/>
          <w:sz w:val="20"/>
          <w:szCs w:val="20"/>
        </w:rPr>
        <w:t>the judiciary and/or anti-corruption</w:t>
      </w:r>
      <w:r w:rsidR="003D43C4">
        <w:rPr>
          <w:rFonts w:ascii="Verdana" w:hAnsi="Verdana" w:cstheme="minorHAnsi"/>
          <w:sz w:val="20"/>
          <w:szCs w:val="20"/>
        </w:rPr>
        <w:t xml:space="preserve"> with at least 5 years of the relevant experience</w:t>
      </w:r>
      <w:r w:rsidR="00A03756" w:rsidRPr="0023524A">
        <w:rPr>
          <w:rFonts w:ascii="Verdana" w:hAnsi="Verdana" w:cstheme="minorHAnsi"/>
          <w:sz w:val="20"/>
          <w:szCs w:val="20"/>
        </w:rPr>
        <w:t>;</w:t>
      </w:r>
    </w:p>
    <w:p w14:paraId="0AF80364" w14:textId="4ED83560" w:rsidR="00F806E4" w:rsidRPr="0023524A" w:rsidRDefault="00F806E4" w:rsidP="002D44C6">
      <w:pPr>
        <w:pStyle w:val="NormalWeb"/>
        <w:numPr>
          <w:ilvl w:val="0"/>
          <w:numId w:val="11"/>
        </w:numPr>
        <w:spacing w:before="0" w:beforeAutospacing="0" w:after="0" w:afterAutospacing="0" w:line="288" w:lineRule="auto"/>
        <w:jc w:val="both"/>
        <w:rPr>
          <w:rFonts w:ascii="Verdana" w:hAnsi="Verdana" w:cstheme="minorHAnsi"/>
          <w:sz w:val="20"/>
          <w:szCs w:val="20"/>
        </w:rPr>
      </w:pPr>
      <w:r w:rsidRPr="0023524A">
        <w:rPr>
          <w:rFonts w:ascii="Verdana" w:hAnsi="Verdana" w:cstheme="minorHAnsi"/>
          <w:sz w:val="20"/>
          <w:szCs w:val="20"/>
        </w:rPr>
        <w:t>Experience in implementing or participating in international donor-funded projects or activities related to the judiciary will be considered an advantage</w:t>
      </w:r>
      <w:r w:rsidR="00FC178A" w:rsidRPr="0023524A">
        <w:rPr>
          <w:rFonts w:ascii="Verdana" w:hAnsi="Verdana" w:cstheme="minorHAnsi"/>
          <w:sz w:val="20"/>
          <w:szCs w:val="20"/>
        </w:rPr>
        <w:t>;</w:t>
      </w:r>
    </w:p>
    <w:p w14:paraId="3EECF2EF" w14:textId="4CFBAE3E" w:rsidR="0082183B" w:rsidRPr="0023524A" w:rsidRDefault="0082183B" w:rsidP="002D44C6">
      <w:pPr>
        <w:pStyle w:val="ListParagraph"/>
        <w:numPr>
          <w:ilvl w:val="0"/>
          <w:numId w:val="11"/>
        </w:numPr>
        <w:spacing w:line="288" w:lineRule="auto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23524A">
        <w:rPr>
          <w:rFonts w:ascii="Verdana" w:hAnsi="Verdana" w:cstheme="minorHAnsi"/>
          <w:sz w:val="20"/>
          <w:szCs w:val="20"/>
        </w:rPr>
        <w:t>Profound sense and personal culture of integrity</w:t>
      </w:r>
      <w:r w:rsidR="00CF7883" w:rsidRPr="0023524A">
        <w:rPr>
          <w:rFonts w:ascii="Verdana" w:hAnsi="Verdana" w:cstheme="minorHAnsi"/>
          <w:sz w:val="20"/>
          <w:szCs w:val="20"/>
        </w:rPr>
        <w:t>.</w:t>
      </w:r>
      <w:r w:rsidRPr="0023524A">
        <w:rPr>
          <w:rFonts w:ascii="Verdana" w:hAnsi="Verdana" w:cstheme="minorHAnsi"/>
          <w:sz w:val="20"/>
          <w:szCs w:val="20"/>
        </w:rPr>
        <w:t xml:space="preserve"> </w:t>
      </w:r>
    </w:p>
    <w:p w14:paraId="29E36F62" w14:textId="1760E304" w:rsidR="006D5FDF" w:rsidRPr="0023524A" w:rsidRDefault="0082183B" w:rsidP="002D44C6">
      <w:pPr>
        <w:pStyle w:val="ListParagraph"/>
        <w:numPr>
          <w:ilvl w:val="0"/>
          <w:numId w:val="11"/>
        </w:numPr>
        <w:spacing w:line="288" w:lineRule="auto"/>
        <w:contextualSpacing w:val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23524A">
        <w:rPr>
          <w:rFonts w:ascii="Verdana" w:hAnsi="Verdana" w:cstheme="minorHAnsi"/>
          <w:sz w:val="20"/>
          <w:szCs w:val="20"/>
        </w:rPr>
        <w:t xml:space="preserve">Excellent written and oral communication skills </w:t>
      </w:r>
      <w:r w:rsidR="00775558" w:rsidRPr="0023524A">
        <w:rPr>
          <w:rFonts w:ascii="Verdana" w:hAnsi="Verdana" w:cstheme="minorHAnsi"/>
          <w:sz w:val="20"/>
          <w:szCs w:val="20"/>
        </w:rPr>
        <w:t xml:space="preserve">in </w:t>
      </w:r>
      <w:r w:rsidR="00076FB9" w:rsidRPr="0023524A">
        <w:rPr>
          <w:rFonts w:ascii="Verdana" w:hAnsi="Verdana" w:cstheme="minorHAnsi"/>
          <w:sz w:val="20"/>
          <w:szCs w:val="20"/>
        </w:rPr>
        <w:t>Ukrainian</w:t>
      </w:r>
      <w:r w:rsidRPr="0023524A">
        <w:rPr>
          <w:rFonts w:ascii="Verdana" w:hAnsi="Verdana" w:cstheme="minorHAnsi"/>
          <w:sz w:val="20"/>
          <w:szCs w:val="20"/>
        </w:rPr>
        <w:t>.</w:t>
      </w:r>
    </w:p>
    <w:bookmarkEnd w:id="6"/>
    <w:p w14:paraId="42E195D1" w14:textId="77777777" w:rsidR="00CF5F6B" w:rsidRDefault="00CF5F6B" w:rsidP="002D44C6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064BB2AB" w14:textId="16407BFF" w:rsidR="005D2BD0" w:rsidRDefault="006E2D7E" w:rsidP="002D44C6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Special requirements</w:t>
      </w:r>
      <w:r w:rsidR="00942512">
        <w:rPr>
          <w:rFonts w:ascii="Verdana" w:eastAsia="Verdana" w:hAnsi="Verdana" w:cs="Verdana"/>
          <w:color w:val="000000"/>
          <w:sz w:val="20"/>
          <w:szCs w:val="20"/>
          <w:u w:val="single"/>
        </w:rPr>
        <w:t>:</w:t>
      </w:r>
    </w:p>
    <w:p w14:paraId="25FB41C4" w14:textId="7EB4D643" w:rsidR="0023524A" w:rsidRDefault="006E2D7E" w:rsidP="002D44C6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By signing the contract</w:t>
      </w:r>
      <w:r w:rsidR="003D43C4"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the </w:t>
      </w:r>
      <w:r w:rsidR="00A22D57">
        <w:rPr>
          <w:rFonts w:ascii="Verdana" w:eastAsia="Verdana" w:hAnsi="Verdana" w:cs="Verdana"/>
          <w:color w:val="000000"/>
          <w:sz w:val="20"/>
          <w:szCs w:val="20"/>
        </w:rPr>
        <w:t>contractors agree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to hold in trust</w:t>
      </w:r>
      <w:r w:rsidR="00BF150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and confidence any information or documents ("confidential information"), disclosed</w:t>
      </w:r>
      <w:r w:rsidR="00BF150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to the contractor or discovered by the contractor or prepared by the contractor</w:t>
      </w:r>
      <w:r w:rsidR="003D43C4"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 the </w:t>
      </w:r>
      <w:r w:rsidR="00BF150A">
        <w:rPr>
          <w:rFonts w:ascii="Verdana" w:eastAsia="Verdana" w:hAnsi="Verdana" w:cs="Verdana"/>
          <w:color w:val="000000"/>
          <w:sz w:val="20"/>
          <w:szCs w:val="20"/>
        </w:rPr>
        <w:t xml:space="preserve">course </w:t>
      </w:r>
      <w:r>
        <w:rPr>
          <w:rFonts w:ascii="Verdana" w:eastAsia="Verdana" w:hAnsi="Verdana" w:cs="Verdana"/>
          <w:color w:val="000000"/>
          <w:sz w:val="20"/>
          <w:szCs w:val="20"/>
        </w:rPr>
        <w:t>of or as a result</w:t>
      </w:r>
      <w:r w:rsidR="00C547C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of the implementation of the contract</w:t>
      </w:r>
      <w:r w:rsidR="003D43C4"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and agrees that it shall be </w:t>
      </w:r>
      <w:r w:rsidR="00BF150A">
        <w:rPr>
          <w:rFonts w:ascii="Verdana" w:eastAsia="Verdana" w:hAnsi="Verdana" w:cs="Verdana"/>
          <w:color w:val="000000"/>
          <w:sz w:val="20"/>
          <w:szCs w:val="20"/>
        </w:rPr>
        <w:t xml:space="preserve">used </w:t>
      </w:r>
      <w:r>
        <w:rPr>
          <w:rFonts w:ascii="Verdana" w:eastAsia="Verdana" w:hAnsi="Verdana" w:cs="Verdana"/>
          <w:color w:val="000000"/>
          <w:sz w:val="20"/>
          <w:szCs w:val="20"/>
        </w:rPr>
        <w:t>only for the purposes of the contract implementation and shall not be disclosed to any third party without EUACI</w:t>
      </w:r>
      <w:r w:rsidR="00A03756">
        <w:rPr>
          <w:rFonts w:ascii="Verdana" w:eastAsia="Verdana" w:hAnsi="Verdana" w:cs="Verdana"/>
          <w:color w:val="000000"/>
          <w:sz w:val="20"/>
          <w:szCs w:val="20"/>
        </w:rPr>
        <w:t xml:space="preserve"> and NACP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authorisation.</w:t>
      </w:r>
      <w:bookmarkStart w:id="7" w:name="_heading=h.2et92p0" w:colFirst="0" w:colLast="0"/>
      <w:bookmarkEnd w:id="7"/>
    </w:p>
    <w:p w14:paraId="4342605A" w14:textId="77777777" w:rsidR="00B747A2" w:rsidRDefault="00B747A2" w:rsidP="002D44C6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1FE36A3" w14:textId="22EEEE8D" w:rsidR="00BA0D01" w:rsidRDefault="00012938" w:rsidP="002D44C6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 w:rsidR="006E2D7E">
        <w:rPr>
          <w:rFonts w:ascii="Verdana" w:eastAsia="Verdana" w:hAnsi="Verdana" w:cs="Verdana"/>
          <w:color w:val="000000"/>
          <w:sz w:val="20"/>
          <w:szCs w:val="20"/>
        </w:rPr>
        <w:t>ontractor</w:t>
      </w:r>
      <w:r>
        <w:rPr>
          <w:rFonts w:ascii="Verdana" w:eastAsia="Verdana" w:hAnsi="Verdana" w:cs="Verdana"/>
          <w:color w:val="000000"/>
          <w:sz w:val="20"/>
          <w:szCs w:val="20"/>
        </w:rPr>
        <w:t>s will</w:t>
      </w:r>
      <w:r w:rsidR="006E2D7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6E2D7E" w:rsidRPr="00C1064D">
        <w:rPr>
          <w:rFonts w:ascii="Verdana" w:eastAsia="Verdana" w:hAnsi="Verdana" w:cs="Verdana"/>
          <w:color w:val="000000"/>
          <w:sz w:val="20"/>
          <w:szCs w:val="20"/>
        </w:rPr>
        <w:t>report to the EUACI</w:t>
      </w:r>
      <w:r w:rsidR="006E2D7E" w:rsidRPr="00076FB9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 w:rsidR="006E2D7E" w:rsidRPr="00076FB9">
        <w:rPr>
          <w:rFonts w:ascii="Verdana" w:eastAsia="Verdana" w:hAnsi="Verdana" w:cs="Verdana"/>
          <w:color w:val="000000"/>
          <w:sz w:val="20"/>
          <w:szCs w:val="20"/>
        </w:rPr>
        <w:t>ontractor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 w:rsidR="006E2D7E" w:rsidRPr="00076FB9">
        <w:rPr>
          <w:rFonts w:ascii="Verdana" w:eastAsia="Verdana" w:hAnsi="Verdana" w:cs="Verdana"/>
          <w:color w:val="000000"/>
          <w:sz w:val="20"/>
          <w:szCs w:val="20"/>
        </w:rPr>
        <w:t xml:space="preserve"> shall de-bri</w:t>
      </w:r>
      <w:r w:rsidR="00B20723" w:rsidRPr="004002BE">
        <w:rPr>
          <w:rFonts w:ascii="Verdana" w:eastAsia="Verdana" w:hAnsi="Verdana" w:cs="Verdana"/>
          <w:color w:val="000000"/>
          <w:sz w:val="20"/>
          <w:szCs w:val="20"/>
        </w:rPr>
        <w:t>ef the EUACI prior</w:t>
      </w:r>
      <w:r w:rsidR="006D5FDF" w:rsidRPr="002E6671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6E2D7E" w:rsidRPr="00775558">
        <w:rPr>
          <w:rFonts w:ascii="Verdana" w:eastAsia="Verdana" w:hAnsi="Verdana" w:cs="Verdana"/>
          <w:color w:val="000000"/>
          <w:sz w:val="20"/>
          <w:szCs w:val="20"/>
        </w:rPr>
        <w:t>to finalising the assignment.</w:t>
      </w:r>
      <w:r w:rsidR="006E2D7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5B462781" w14:textId="77777777" w:rsidR="00E265E5" w:rsidRDefault="00E265E5" w:rsidP="002D44C6">
      <w:pPr>
        <w:pStyle w:val="Heading1"/>
        <w:spacing w:before="0" w:after="0" w:line="288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AD7D769" w14:textId="09F6C73D" w:rsidR="005D2BD0" w:rsidRDefault="006E2D7E" w:rsidP="002D44C6">
      <w:pPr>
        <w:pStyle w:val="Heading1"/>
        <w:spacing w:before="0" w:after="0" w:line="288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Bidding details:</w:t>
      </w:r>
    </w:p>
    <w:p w14:paraId="156F7D70" w14:textId="77777777" w:rsidR="005D2BD0" w:rsidRDefault="006E2D7E" w:rsidP="002D44C6">
      <w:pP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The bidder </w:t>
      </w:r>
      <w:r w:rsidR="003C2BA0">
        <w:rPr>
          <w:rFonts w:ascii="Verdana" w:eastAsia="Verdana" w:hAnsi="Verdana" w:cs="Verdana"/>
          <w:color w:val="000000"/>
          <w:sz w:val="20"/>
          <w:szCs w:val="20"/>
        </w:rPr>
        <w:t xml:space="preserve">or team of bidders </w:t>
      </w:r>
      <w:r>
        <w:rPr>
          <w:rFonts w:ascii="Verdana" w:eastAsia="Verdana" w:hAnsi="Verdana" w:cs="Verdana"/>
          <w:color w:val="000000"/>
          <w:sz w:val="20"/>
          <w:szCs w:val="20"/>
        </w:rPr>
        <w:t>must submit the following information to be considered:</w:t>
      </w:r>
    </w:p>
    <w:p w14:paraId="712BDE31" w14:textId="705F733E" w:rsidR="005D2BD0" w:rsidRPr="00C1064D" w:rsidRDefault="003D43C4" w:rsidP="002D44C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CV</w:t>
      </w:r>
      <w:r w:rsidR="003C2BA0"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6E2D7E" w:rsidRPr="00C1064D">
        <w:rPr>
          <w:rFonts w:ascii="Verdana" w:eastAsia="Verdana" w:hAnsi="Verdana" w:cs="Verdana"/>
          <w:color w:val="000000"/>
          <w:sz w:val="20"/>
          <w:szCs w:val="20"/>
        </w:rPr>
        <w:t>(</w:t>
      </w:r>
      <w:r w:rsidR="00CF7883" w:rsidRPr="00C1064D">
        <w:rPr>
          <w:rFonts w:ascii="Verdana" w:eastAsia="Verdana" w:hAnsi="Verdana" w:cs="Verdana"/>
          <w:color w:val="000000"/>
          <w:sz w:val="20"/>
          <w:szCs w:val="20"/>
        </w:rPr>
        <w:t>max. 3 pages</w:t>
      </w:r>
      <w:r>
        <w:rPr>
          <w:rFonts w:ascii="Verdana" w:eastAsia="Verdana" w:hAnsi="Verdana" w:cs="Verdana"/>
          <w:color w:val="000000"/>
          <w:sz w:val="20"/>
          <w:szCs w:val="20"/>
        </w:rPr>
        <w:t>);</w:t>
      </w:r>
    </w:p>
    <w:p w14:paraId="49A47430" w14:textId="04CAFA46" w:rsidR="00434439" w:rsidRPr="00C1064D" w:rsidRDefault="006E2D7E" w:rsidP="002D44C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 w:rsidR="00812321"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list of assignments related </w:t>
      </w:r>
      <w:r w:rsidRPr="00C1064D">
        <w:rPr>
          <w:rFonts w:ascii="Verdana" w:eastAsia="Verdana" w:hAnsi="Verdana" w:cs="Verdana"/>
          <w:color w:val="000000"/>
          <w:sz w:val="20"/>
          <w:szCs w:val="20"/>
        </w:rPr>
        <w:t>to th</w:t>
      </w:r>
      <w:r w:rsidR="002C5FF0">
        <w:rPr>
          <w:rFonts w:ascii="Verdana" w:eastAsia="Verdana" w:hAnsi="Verdana" w:cs="Verdana"/>
          <w:color w:val="000000"/>
          <w:sz w:val="20"/>
          <w:szCs w:val="20"/>
        </w:rPr>
        <w:t>e sphere of research</w:t>
      </w:r>
      <w:r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 ex</w:t>
      </w:r>
      <w:r w:rsidR="006D5FDF" w:rsidRPr="00C1064D">
        <w:rPr>
          <w:rFonts w:ascii="Verdana" w:eastAsia="Verdana" w:hAnsi="Verdana" w:cs="Verdana"/>
          <w:color w:val="000000"/>
          <w:sz w:val="20"/>
          <w:szCs w:val="20"/>
        </w:rPr>
        <w:t>ecuted</w:t>
      </w:r>
      <w:r w:rsidR="00AA5DC7"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CF7883"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during </w:t>
      </w:r>
      <w:r w:rsidR="006D5FDF" w:rsidRPr="00C1064D">
        <w:rPr>
          <w:rFonts w:ascii="Verdana" w:eastAsia="Verdana" w:hAnsi="Verdana" w:cs="Verdana"/>
          <w:color w:val="000000"/>
          <w:sz w:val="20"/>
          <w:szCs w:val="20"/>
        </w:rPr>
        <w:t>the last five years</w:t>
      </w:r>
      <w:r w:rsidR="00CF7883" w:rsidRPr="00C1064D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4F97E694" w14:textId="5FED7D36" w:rsidR="00CF7883" w:rsidRPr="00C1064D" w:rsidRDefault="00CF7883" w:rsidP="002D44C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At least one example of analytical </w:t>
      </w:r>
      <w:r w:rsidR="00D05724">
        <w:rPr>
          <w:rFonts w:ascii="Verdana" w:eastAsia="Verdana" w:hAnsi="Verdana" w:cs="Verdana"/>
          <w:color w:val="000000"/>
          <w:sz w:val="20"/>
          <w:szCs w:val="20"/>
        </w:rPr>
        <w:t xml:space="preserve">paper, </w:t>
      </w:r>
      <w:r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study, report or other similar document prepared </w:t>
      </w:r>
      <w:r w:rsidR="00A63EAB"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</w:t>
      </w:r>
      <w:r w:rsidRPr="00C1064D">
        <w:rPr>
          <w:rFonts w:ascii="Verdana" w:eastAsia="Verdana" w:hAnsi="Verdana" w:cs="Verdana"/>
          <w:color w:val="000000"/>
          <w:sz w:val="20"/>
          <w:szCs w:val="20"/>
        </w:rPr>
        <w:t>by</w:t>
      </w:r>
      <w:r w:rsidR="003D43C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1122A9">
        <w:rPr>
          <w:rFonts w:ascii="Verdana" w:eastAsia="Verdana" w:hAnsi="Verdana" w:cs="Verdana"/>
          <w:color w:val="000000"/>
          <w:sz w:val="20"/>
          <w:szCs w:val="20"/>
        </w:rPr>
        <w:t>experts</w:t>
      </w:r>
      <w:r w:rsidR="001122A9"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 on</w:t>
      </w:r>
      <w:r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 the </w:t>
      </w:r>
      <w:r w:rsidR="005611DC"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sphere of </w:t>
      </w:r>
      <w:r w:rsidR="00081205" w:rsidRPr="00C1064D">
        <w:rPr>
          <w:rFonts w:ascii="Verdana" w:eastAsia="Verdana" w:hAnsi="Verdana" w:cs="Verdana"/>
          <w:color w:val="000000"/>
          <w:sz w:val="20"/>
          <w:szCs w:val="20"/>
        </w:rPr>
        <w:t>the judiciary</w:t>
      </w:r>
      <w:r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30126D62" w14:textId="21AC84A4" w:rsidR="00B531D9" w:rsidRPr="00C1064D" w:rsidRDefault="006E2D7E" w:rsidP="002D44C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1064D">
        <w:rPr>
          <w:rFonts w:ascii="Verdana" w:eastAsia="Verdana" w:hAnsi="Verdana" w:cs="Verdana"/>
          <w:color w:val="000000"/>
          <w:sz w:val="20"/>
          <w:szCs w:val="20"/>
        </w:rPr>
        <w:t>A financial o</w:t>
      </w:r>
      <w:r w:rsidR="00942512" w:rsidRPr="00C1064D">
        <w:rPr>
          <w:rFonts w:ascii="Verdana" w:eastAsia="Verdana" w:hAnsi="Verdana" w:cs="Verdana"/>
          <w:color w:val="000000"/>
          <w:sz w:val="20"/>
          <w:szCs w:val="20"/>
        </w:rPr>
        <w:t xml:space="preserve">ffer </w:t>
      </w:r>
      <w:r w:rsidR="003D43C4">
        <w:rPr>
          <w:rFonts w:ascii="Verdana" w:eastAsia="Verdana" w:hAnsi="Verdana" w:cs="Verdana"/>
          <w:color w:val="000000"/>
          <w:sz w:val="20"/>
          <w:szCs w:val="20"/>
        </w:rPr>
        <w:t>(</w:t>
      </w:r>
      <w:r w:rsidR="001122A9">
        <w:rPr>
          <w:rFonts w:ascii="Verdana" w:eastAsia="Verdana" w:hAnsi="Verdana" w:cs="Verdana"/>
          <w:color w:val="000000"/>
          <w:sz w:val="20"/>
          <w:szCs w:val="20"/>
        </w:rPr>
        <w:t xml:space="preserve">including experts’ </w:t>
      </w:r>
      <w:r w:rsidR="003D43C4">
        <w:rPr>
          <w:rFonts w:ascii="Verdana" w:eastAsia="Verdana" w:hAnsi="Verdana" w:cs="Verdana"/>
          <w:color w:val="000000"/>
          <w:sz w:val="20"/>
          <w:szCs w:val="20"/>
        </w:rPr>
        <w:t>fee</w:t>
      </w:r>
      <w:r w:rsidR="001122A9">
        <w:rPr>
          <w:rFonts w:ascii="Verdana" w:eastAsia="Verdana" w:hAnsi="Verdana" w:cs="Verdana"/>
          <w:color w:val="000000"/>
          <w:sz w:val="20"/>
          <w:szCs w:val="20"/>
        </w:rPr>
        <w:t>s</w:t>
      </w:r>
      <w:r w:rsidR="003D43C4">
        <w:rPr>
          <w:rFonts w:ascii="Verdana" w:eastAsia="Verdana" w:hAnsi="Verdana" w:cs="Verdana"/>
          <w:color w:val="000000"/>
          <w:sz w:val="20"/>
          <w:szCs w:val="20"/>
        </w:rPr>
        <w:t xml:space="preserve"> per day</w:t>
      </w:r>
      <w:r w:rsidR="00413442">
        <w:rPr>
          <w:rFonts w:ascii="Verdana" w:eastAsia="Verdana" w:hAnsi="Verdana" w:cs="Verdana"/>
          <w:color w:val="000000"/>
          <w:sz w:val="20"/>
          <w:szCs w:val="20"/>
        </w:rPr>
        <w:t xml:space="preserve"> and number of days</w:t>
      </w:r>
      <w:r w:rsidR="001122A9">
        <w:rPr>
          <w:rFonts w:ascii="Verdana" w:eastAsia="Verdana" w:hAnsi="Verdana" w:cs="Verdana"/>
          <w:color w:val="000000"/>
          <w:sz w:val="20"/>
          <w:szCs w:val="20"/>
        </w:rPr>
        <w:t xml:space="preserve"> for each expert</w:t>
      </w:r>
      <w:r w:rsidR="003D43C4">
        <w:rPr>
          <w:rFonts w:ascii="Verdana" w:eastAsia="Verdana" w:hAnsi="Verdana" w:cs="Verdana"/>
          <w:color w:val="000000"/>
          <w:sz w:val="20"/>
          <w:szCs w:val="20"/>
        </w:rPr>
        <w:t>).</w:t>
      </w:r>
    </w:p>
    <w:p w14:paraId="4A3FB35E" w14:textId="77777777" w:rsidR="00531BDA" w:rsidRDefault="00531BDA" w:rsidP="002D44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4F48B82" w14:textId="75048A6F" w:rsidR="00BF150A" w:rsidRDefault="00BF150A" w:rsidP="002D44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Budget</w:t>
      </w:r>
      <w:r w:rsidR="00C547C9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14:paraId="3A3A7239" w14:textId="0C63224D" w:rsidR="005D2BD0" w:rsidRDefault="006E2D7E" w:rsidP="002D44C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C1F3C">
        <w:rPr>
          <w:rFonts w:ascii="Verdana" w:eastAsia="Verdana" w:hAnsi="Verdana" w:cs="Verdana"/>
          <w:bCs/>
          <w:color w:val="000000"/>
          <w:sz w:val="20"/>
          <w:szCs w:val="20"/>
        </w:rPr>
        <w:t xml:space="preserve">The </w:t>
      </w:r>
      <w:r w:rsidR="00B20723" w:rsidRPr="00FC1F3C">
        <w:rPr>
          <w:rFonts w:ascii="Verdana" w:eastAsia="Verdana" w:hAnsi="Verdana" w:cs="Verdana"/>
          <w:bCs/>
          <w:color w:val="000000"/>
          <w:sz w:val="20"/>
          <w:szCs w:val="20"/>
        </w:rPr>
        <w:t xml:space="preserve">total </w:t>
      </w:r>
      <w:r w:rsidRPr="00FC1F3C">
        <w:rPr>
          <w:rFonts w:ascii="Verdana" w:eastAsia="Verdana" w:hAnsi="Verdana" w:cs="Verdana"/>
          <w:bCs/>
          <w:color w:val="000000"/>
          <w:sz w:val="20"/>
          <w:szCs w:val="20"/>
        </w:rPr>
        <w:t xml:space="preserve">contract budget </w:t>
      </w:r>
      <w:r w:rsidR="00413442">
        <w:rPr>
          <w:rFonts w:ascii="Verdana" w:eastAsia="Verdana" w:hAnsi="Verdana" w:cs="Verdana"/>
          <w:bCs/>
          <w:color w:val="000000"/>
          <w:sz w:val="20"/>
          <w:szCs w:val="20"/>
        </w:rPr>
        <w:t>for 3 expert</w:t>
      </w:r>
      <w:r w:rsidR="001122A9">
        <w:rPr>
          <w:rFonts w:ascii="Verdana" w:eastAsia="Verdana" w:hAnsi="Verdana" w:cs="Verdana"/>
          <w:bCs/>
          <w:color w:val="000000"/>
          <w:sz w:val="20"/>
          <w:szCs w:val="20"/>
        </w:rPr>
        <w:t>s</w:t>
      </w:r>
      <w:r w:rsidR="00413442">
        <w:rPr>
          <w:rFonts w:ascii="Verdana" w:eastAsia="Verdana" w:hAnsi="Verdana" w:cs="Verdana"/>
          <w:bCs/>
          <w:color w:val="000000"/>
          <w:sz w:val="20"/>
          <w:szCs w:val="20"/>
        </w:rPr>
        <w:t xml:space="preserve"> </w:t>
      </w:r>
      <w:r w:rsidRPr="00FC1F3C">
        <w:rPr>
          <w:rFonts w:ascii="Verdana" w:eastAsia="Verdana" w:hAnsi="Verdana" w:cs="Verdana"/>
          <w:bCs/>
          <w:color w:val="000000"/>
          <w:sz w:val="20"/>
          <w:szCs w:val="20"/>
        </w:rPr>
        <w:t>cannot exceed</w:t>
      </w:r>
      <w:r w:rsidRPr="004F406C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A22D57">
        <w:rPr>
          <w:rFonts w:ascii="Verdana" w:eastAsia="Verdana" w:hAnsi="Verdana" w:cs="Verdana"/>
          <w:b/>
          <w:color w:val="000000"/>
          <w:sz w:val="20"/>
          <w:szCs w:val="20"/>
        </w:rPr>
        <w:t xml:space="preserve">EUR </w:t>
      </w:r>
      <w:r w:rsidR="00413442" w:rsidRPr="00A22D57">
        <w:rPr>
          <w:rFonts w:ascii="Verdana" w:eastAsia="Verdana" w:hAnsi="Verdana" w:cs="Verdana"/>
          <w:b/>
          <w:color w:val="000000"/>
          <w:sz w:val="20"/>
          <w:szCs w:val="20"/>
        </w:rPr>
        <w:t>30</w:t>
      </w:r>
      <w:r w:rsidR="0083454E" w:rsidRPr="00A22D57">
        <w:rPr>
          <w:rFonts w:ascii="Verdana" w:eastAsia="Verdana" w:hAnsi="Verdana" w:cs="Verdana"/>
          <w:b/>
          <w:color w:val="000000"/>
          <w:sz w:val="20"/>
          <w:szCs w:val="20"/>
        </w:rPr>
        <w:t>,0</w:t>
      </w:r>
      <w:r w:rsidR="00A162B0" w:rsidRPr="00A22D57">
        <w:rPr>
          <w:rFonts w:ascii="Verdana" w:eastAsia="Verdana" w:hAnsi="Verdana" w:cs="Verdana"/>
          <w:b/>
          <w:color w:val="000000"/>
          <w:sz w:val="20"/>
          <w:szCs w:val="20"/>
        </w:rPr>
        <w:t>00</w:t>
      </w:r>
      <w:r w:rsidR="009F7CDB">
        <w:rPr>
          <w:rFonts w:ascii="Verdana" w:eastAsia="Verdana" w:hAnsi="Verdana" w:cs="Verdana"/>
          <w:b/>
          <w:color w:val="000000"/>
          <w:sz w:val="20"/>
          <w:szCs w:val="20"/>
        </w:rPr>
        <w:t>, with approximate budget for each expert is EUR 10 000</w:t>
      </w:r>
      <w:r w:rsidR="00413442">
        <w:rPr>
          <w:rFonts w:ascii="Verdana" w:eastAsia="Verdana" w:hAnsi="Verdana" w:cs="Verdana"/>
          <w:b/>
          <w:color w:val="000000"/>
          <w:sz w:val="20"/>
          <w:szCs w:val="20"/>
          <w:shd w:val="clear" w:color="auto" w:fill="FFFF00"/>
        </w:rPr>
        <w:t xml:space="preserve"> </w:t>
      </w:r>
    </w:p>
    <w:p w14:paraId="793CD9C1" w14:textId="77777777" w:rsidR="00E265E5" w:rsidRDefault="00E265E5" w:rsidP="002D44C6">
      <w:pPr>
        <w:pStyle w:val="Heading1"/>
        <w:spacing w:before="0" w:after="0"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F3CCACD" w14:textId="3A5A4D79" w:rsidR="005D2BD0" w:rsidRDefault="006E2D7E" w:rsidP="002D44C6">
      <w:pPr>
        <w:pStyle w:val="Heading1"/>
        <w:spacing w:before="0" w:after="0"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How to apply</w:t>
      </w:r>
      <w:r w:rsidR="00C547C9"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6BCF6D7E" w14:textId="44DBD8AB" w:rsidR="00E265E5" w:rsidRDefault="006E2D7E" w:rsidP="002D44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8" w:name="_heading=h.tyjcwt" w:colFirst="0" w:colLast="0"/>
      <w:bookmarkEnd w:id="8"/>
      <w:r>
        <w:rPr>
          <w:rFonts w:ascii="Verdana" w:eastAsia="Verdana" w:hAnsi="Verdana" w:cs="Verdana"/>
          <w:color w:val="000000"/>
          <w:sz w:val="20"/>
          <w:szCs w:val="20"/>
        </w:rPr>
        <w:t>The deadline f</w:t>
      </w:r>
      <w:r w:rsidR="006D5FDF"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812321">
        <w:rPr>
          <w:rFonts w:ascii="Verdana" w:eastAsia="Verdana" w:hAnsi="Verdana" w:cs="Verdana"/>
          <w:color w:val="000000"/>
          <w:sz w:val="20"/>
          <w:szCs w:val="20"/>
        </w:rPr>
        <w:t xml:space="preserve">r submitting the proposals </w:t>
      </w:r>
      <w:r w:rsidR="00812321" w:rsidRPr="0013795E">
        <w:rPr>
          <w:rFonts w:ascii="Verdana" w:eastAsia="Verdana" w:hAnsi="Verdana" w:cs="Verdana"/>
          <w:b/>
          <w:color w:val="000000"/>
          <w:sz w:val="20"/>
          <w:szCs w:val="20"/>
        </w:rPr>
        <w:t xml:space="preserve">is </w:t>
      </w:r>
      <w:r w:rsidR="00B747A2">
        <w:rPr>
          <w:rFonts w:ascii="Verdana" w:eastAsia="Verdana" w:hAnsi="Verdana" w:cs="Verdana"/>
          <w:b/>
          <w:color w:val="000000"/>
          <w:sz w:val="20"/>
          <w:szCs w:val="20"/>
        </w:rPr>
        <w:t>0</w:t>
      </w:r>
      <w:r w:rsidR="00182DB2">
        <w:rPr>
          <w:rFonts w:ascii="Verdana" w:eastAsia="Verdana" w:hAnsi="Verdana" w:cs="Verdana"/>
          <w:b/>
          <w:color w:val="000000"/>
          <w:sz w:val="20"/>
          <w:szCs w:val="20"/>
        </w:rPr>
        <w:t>7</w:t>
      </w:r>
      <w:r w:rsidR="00B747A2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B747A2" w:rsidRPr="002D44C6">
        <w:rPr>
          <w:rFonts w:ascii="Verdana" w:eastAsia="Verdana" w:hAnsi="Verdana" w:cs="Verdana"/>
          <w:b/>
          <w:color w:val="000000"/>
          <w:sz w:val="20"/>
          <w:szCs w:val="20"/>
        </w:rPr>
        <w:t>February</w:t>
      </w:r>
      <w:r w:rsidR="00B747A2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B747A2" w:rsidRPr="002D44C6">
        <w:rPr>
          <w:rFonts w:ascii="Verdana" w:eastAsia="Verdana" w:hAnsi="Verdana" w:cs="Verdana"/>
          <w:b/>
          <w:color w:val="000000"/>
          <w:sz w:val="20"/>
          <w:szCs w:val="20"/>
        </w:rPr>
        <w:t>2025</w:t>
      </w:r>
      <w:r w:rsidRPr="002D44C6">
        <w:rPr>
          <w:rFonts w:ascii="Verdana" w:eastAsia="Verdana" w:hAnsi="Verdana" w:cs="Verdana"/>
          <w:b/>
          <w:color w:val="000000"/>
          <w:sz w:val="20"/>
          <w:szCs w:val="20"/>
        </w:rPr>
        <w:t>,</w:t>
      </w:r>
      <w:r w:rsidRPr="0013795E">
        <w:rPr>
          <w:rFonts w:ascii="Verdana" w:eastAsia="Verdana" w:hAnsi="Verdana" w:cs="Verdana"/>
          <w:b/>
          <w:color w:val="000000"/>
          <w:sz w:val="20"/>
          <w:szCs w:val="20"/>
        </w:rPr>
        <w:t xml:space="preserve"> 18:00 Kyiv time.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810BA4F" w14:textId="64444E02" w:rsidR="002F1C3B" w:rsidRDefault="006E2D7E" w:rsidP="002D44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The proposals shall be submitted within the above deadline </w:t>
      </w:r>
      <w:r w:rsidRPr="00653233">
        <w:rPr>
          <w:rFonts w:ascii="Verdana" w:eastAsia="Verdana" w:hAnsi="Verdana" w:cs="Verdana"/>
          <w:sz w:val="20"/>
          <w:szCs w:val="20"/>
        </w:rPr>
        <w:t xml:space="preserve">to </w:t>
      </w:r>
      <w:hyperlink r:id="rId9" w:history="1">
        <w:r w:rsidR="0013795E" w:rsidRPr="00653233">
          <w:rPr>
            <w:rStyle w:val="Hyperlink"/>
            <w:rFonts w:ascii="Verdana" w:eastAsia="Verdana" w:hAnsi="Verdana" w:cs="Verdana"/>
            <w:color w:val="auto"/>
            <w:sz w:val="20"/>
            <w:szCs w:val="20"/>
          </w:rPr>
          <w:t>euaci@um.dk</w:t>
        </w:r>
      </w:hyperlink>
      <w:r w:rsidR="0013795E" w:rsidRPr="00653233">
        <w:rPr>
          <w:rFonts w:ascii="Verdana" w:eastAsia="Verdana" w:hAnsi="Verdana" w:cs="Verdana"/>
          <w:sz w:val="20"/>
          <w:szCs w:val="20"/>
        </w:rPr>
        <w:t xml:space="preserve"> and </w:t>
      </w:r>
      <w:hyperlink r:id="rId10" w:history="1">
        <w:r w:rsidR="00BF150A" w:rsidRPr="00653233">
          <w:rPr>
            <w:rStyle w:val="Hyperlink"/>
            <w:rFonts w:ascii="Verdana" w:eastAsia="Verdana" w:hAnsi="Verdana" w:cs="Verdana"/>
            <w:color w:val="auto"/>
            <w:sz w:val="20"/>
            <w:szCs w:val="20"/>
          </w:rPr>
          <w:t>ievrom@um.dk</w:t>
        </w:r>
      </w:hyperlink>
      <w:r w:rsidR="00BF150A" w:rsidRPr="00653233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653233">
        <w:rPr>
          <w:rFonts w:ascii="Verdana" w:eastAsia="Verdana" w:hAnsi="Verdana" w:cs="Verdana"/>
          <w:sz w:val="20"/>
          <w:szCs w:val="20"/>
        </w:rPr>
        <w:t xml:space="preserve"> indicating the subject line “</w:t>
      </w:r>
      <w:r w:rsidR="00A162B0" w:rsidRPr="00653233">
        <w:rPr>
          <w:rFonts w:ascii="Verdana" w:eastAsia="Verdana" w:hAnsi="Verdana" w:cs="Verdana"/>
          <w:sz w:val="20"/>
          <w:szCs w:val="20"/>
        </w:rPr>
        <w:t xml:space="preserve">Tender: </w:t>
      </w:r>
      <w:r w:rsidR="00BA0D01" w:rsidRPr="00653233">
        <w:rPr>
          <w:rFonts w:ascii="Verdana" w:eastAsia="Verdana" w:hAnsi="Verdana" w:cs="Verdana"/>
          <w:sz w:val="20"/>
          <w:szCs w:val="20"/>
        </w:rPr>
        <w:t>“</w:t>
      </w:r>
      <w:r w:rsidR="00D05724">
        <w:rPr>
          <w:rFonts w:ascii="Verdana" w:eastAsia="Verdana" w:hAnsi="Verdana" w:cs="Verdana"/>
          <w:b/>
          <w:color w:val="000000"/>
          <w:sz w:val="20"/>
          <w:szCs w:val="20"/>
        </w:rPr>
        <w:t>Sectoral experts on</w:t>
      </w:r>
      <w:r w:rsidR="00D05724" w:rsidRPr="00DA7567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D05724">
        <w:rPr>
          <w:rFonts w:ascii="Verdana" w:eastAsia="Verdana" w:hAnsi="Verdana" w:cs="Verdana"/>
          <w:b/>
          <w:color w:val="000000"/>
          <w:sz w:val="20"/>
          <w:szCs w:val="20"/>
        </w:rPr>
        <w:t>j</w:t>
      </w:r>
      <w:r w:rsidR="00D05724" w:rsidRPr="00DA7567">
        <w:rPr>
          <w:rFonts w:ascii="Verdana" w:eastAsia="Verdana" w:hAnsi="Verdana" w:cs="Verdana"/>
          <w:b/>
          <w:color w:val="000000"/>
          <w:sz w:val="20"/>
          <w:szCs w:val="20"/>
        </w:rPr>
        <w:t>udiciary</w:t>
      </w:r>
      <w:r w:rsidRPr="00653233">
        <w:rPr>
          <w:rFonts w:ascii="Verdana" w:eastAsia="Verdana" w:hAnsi="Verdana" w:cs="Verdana"/>
          <w:sz w:val="20"/>
          <w:szCs w:val="20"/>
        </w:rPr>
        <w:t xml:space="preserve">”. </w:t>
      </w:r>
    </w:p>
    <w:p w14:paraId="185A0B6A" w14:textId="77777777" w:rsidR="00A22D57" w:rsidRDefault="00A22D57" w:rsidP="002D44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851BA62" w14:textId="7FF566A8" w:rsidR="00A03756" w:rsidRDefault="00A03756" w:rsidP="002D44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0"/>
          <w:szCs w:val="20"/>
        </w:rPr>
      </w:pPr>
      <w:r w:rsidRPr="00A03756">
        <w:rPr>
          <w:rFonts w:ascii="Verdana" w:eastAsia="Verdana" w:hAnsi="Verdana" w:cs="Verdana"/>
          <w:sz w:val="20"/>
          <w:szCs w:val="20"/>
        </w:rPr>
        <w:t xml:space="preserve">The applicant will receive an auto-reply from euaci@um.dk when the application is received. </w:t>
      </w:r>
      <w:r w:rsidR="00B747A2">
        <w:rPr>
          <w:rFonts w:ascii="Verdana" w:eastAsia="Verdana" w:hAnsi="Verdana" w:cs="Verdana"/>
          <w:sz w:val="20"/>
          <w:szCs w:val="20"/>
        </w:rPr>
        <w:t xml:space="preserve">             </w:t>
      </w:r>
      <w:r w:rsidRPr="00A03756">
        <w:rPr>
          <w:rFonts w:ascii="Verdana" w:eastAsia="Verdana" w:hAnsi="Verdana" w:cs="Verdana"/>
          <w:sz w:val="20"/>
          <w:szCs w:val="20"/>
        </w:rPr>
        <w:t>If an auto-reply is not received, please contact the EUACI.</w:t>
      </w:r>
    </w:p>
    <w:p w14:paraId="0BA01F84" w14:textId="77777777" w:rsidR="002F1C3B" w:rsidRPr="00653233" w:rsidRDefault="002F1C3B" w:rsidP="002D44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D91417A" w14:textId="18E5BA29" w:rsidR="00A03756" w:rsidRDefault="006E2D7E" w:rsidP="002D44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9" w:name="_heading=h.3dy6vkm" w:colFirst="0" w:colLast="0"/>
      <w:bookmarkEnd w:id="9"/>
      <w:r w:rsidRPr="00653233">
        <w:rPr>
          <w:rFonts w:ascii="Verdana" w:eastAsia="Verdana" w:hAnsi="Verdana" w:cs="Verdana"/>
          <w:sz w:val="20"/>
          <w:szCs w:val="20"/>
        </w:rPr>
        <w:t xml:space="preserve">Bidding language: </w:t>
      </w:r>
      <w:r w:rsidRPr="00B747A2">
        <w:rPr>
          <w:rFonts w:ascii="Verdana" w:eastAsia="Verdana" w:hAnsi="Verdana" w:cs="Verdana"/>
          <w:b/>
          <w:bCs/>
          <w:sz w:val="20"/>
          <w:szCs w:val="20"/>
        </w:rPr>
        <w:t>English</w:t>
      </w:r>
      <w:r w:rsidRPr="00653233">
        <w:rPr>
          <w:rFonts w:ascii="Verdana" w:eastAsia="Verdana" w:hAnsi="Verdana" w:cs="Verdana"/>
          <w:sz w:val="20"/>
          <w:szCs w:val="20"/>
        </w:rPr>
        <w:t>.</w:t>
      </w:r>
    </w:p>
    <w:p w14:paraId="40237B01" w14:textId="77777777" w:rsidR="002F1C3B" w:rsidRDefault="002F1C3B" w:rsidP="002D44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E867FD8" w14:textId="503EEDD6" w:rsidR="005D2BD0" w:rsidRDefault="006E2D7E" w:rsidP="002D44C6">
      <w:pPr>
        <w:spacing w:line="288" w:lineRule="auto"/>
        <w:jc w:val="both"/>
        <w:rPr>
          <w:rFonts w:eastAsia="Verdana"/>
        </w:rPr>
      </w:pPr>
      <w:r w:rsidRPr="00653233">
        <w:rPr>
          <w:rFonts w:ascii="Verdana" w:eastAsia="Verdana" w:hAnsi="Verdana" w:cs="Verdana"/>
          <w:sz w:val="20"/>
          <w:szCs w:val="20"/>
        </w:rPr>
        <w:t xml:space="preserve">Any clarification questions for the bid request should be addressed to </w:t>
      </w:r>
      <w:hyperlink r:id="rId11" w:history="1">
        <w:r w:rsidR="00BF150A" w:rsidRPr="00653233">
          <w:rPr>
            <w:rStyle w:val="Hyperlink"/>
            <w:rFonts w:ascii="Verdana" w:eastAsia="Verdana" w:hAnsi="Verdana" w:cs="Verdana"/>
            <w:color w:val="auto"/>
            <w:sz w:val="20"/>
            <w:szCs w:val="20"/>
          </w:rPr>
          <w:t>euaci@um.dk</w:t>
        </w:r>
      </w:hyperlink>
      <w:r w:rsidR="00BF150A" w:rsidRPr="00653233">
        <w:rPr>
          <w:rFonts w:ascii="Verdana" w:eastAsia="Verdana" w:hAnsi="Verdana" w:cs="Verdana"/>
          <w:sz w:val="20"/>
          <w:szCs w:val="20"/>
        </w:rPr>
        <w:t xml:space="preserve"> </w:t>
      </w:r>
      <w:r w:rsidR="0013795E" w:rsidRPr="00653233">
        <w:rPr>
          <w:rFonts w:ascii="Verdana" w:eastAsia="Verdana" w:hAnsi="Verdana" w:cs="Verdana"/>
          <w:sz w:val="20"/>
          <w:szCs w:val="20"/>
        </w:rPr>
        <w:t xml:space="preserve">and </w:t>
      </w:r>
      <w:hyperlink r:id="rId12" w:history="1">
        <w:r w:rsidR="00BF150A" w:rsidRPr="00653233">
          <w:rPr>
            <w:rStyle w:val="Hyperlink"/>
            <w:rFonts w:ascii="Verdana" w:eastAsia="Verdana" w:hAnsi="Verdana" w:cs="Verdana"/>
            <w:color w:val="auto"/>
            <w:sz w:val="20"/>
            <w:szCs w:val="20"/>
          </w:rPr>
          <w:t>ievrom@um.dk</w:t>
        </w:r>
      </w:hyperlink>
      <w:r w:rsidR="0013795E" w:rsidRPr="00653233">
        <w:rPr>
          <w:rFonts w:ascii="Verdana" w:eastAsia="Verdana" w:hAnsi="Verdana" w:cs="Verdana"/>
          <w:sz w:val="20"/>
          <w:szCs w:val="20"/>
        </w:rPr>
        <w:t xml:space="preserve">, </w:t>
      </w:r>
      <w:r w:rsidR="0013795E" w:rsidRPr="00653233">
        <w:rPr>
          <w:rFonts w:ascii="Verdana" w:eastAsia="Verdana" w:hAnsi="Verdana" w:cs="Verdana"/>
          <w:b/>
          <w:sz w:val="20"/>
          <w:szCs w:val="20"/>
        </w:rPr>
        <w:t xml:space="preserve">no later than </w:t>
      </w:r>
      <w:r w:rsidR="00182DB2">
        <w:rPr>
          <w:rFonts w:ascii="Verdana" w:eastAsia="Verdana" w:hAnsi="Verdana" w:cs="Verdana"/>
          <w:b/>
          <w:sz w:val="20"/>
          <w:szCs w:val="20"/>
        </w:rPr>
        <w:t>05 February</w:t>
      </w:r>
      <w:r w:rsidRPr="00653233">
        <w:rPr>
          <w:rFonts w:ascii="Verdana" w:eastAsia="Verdana" w:hAnsi="Verdana" w:cs="Verdana"/>
          <w:b/>
          <w:sz w:val="20"/>
          <w:szCs w:val="20"/>
        </w:rPr>
        <w:t xml:space="preserve"> 202</w:t>
      </w:r>
      <w:r w:rsidR="00A03756">
        <w:rPr>
          <w:rFonts w:ascii="Verdana" w:eastAsia="Verdana" w:hAnsi="Verdana" w:cs="Verdana"/>
          <w:b/>
          <w:sz w:val="20"/>
          <w:szCs w:val="20"/>
        </w:rPr>
        <w:t>5</w:t>
      </w:r>
      <w:r w:rsidRPr="00653233">
        <w:rPr>
          <w:rFonts w:ascii="Verdana" w:eastAsia="Verdana" w:hAnsi="Verdana" w:cs="Verdana"/>
          <w:b/>
          <w:sz w:val="20"/>
          <w:szCs w:val="20"/>
        </w:rPr>
        <w:t xml:space="preserve">, 18:00 </w:t>
      </w:r>
      <w:r w:rsidRPr="0013795E">
        <w:rPr>
          <w:rFonts w:ascii="Verdana" w:eastAsia="Verdana" w:hAnsi="Verdana" w:cs="Verdana"/>
          <w:b/>
          <w:color w:val="000000"/>
          <w:sz w:val="20"/>
          <w:szCs w:val="20"/>
        </w:rPr>
        <w:t>Kyiv time.</w:t>
      </w:r>
    </w:p>
    <w:p w14:paraId="34C4A447" w14:textId="77777777" w:rsidR="00E265E5" w:rsidRDefault="00E265E5" w:rsidP="002D44C6">
      <w:pPr>
        <w:pStyle w:val="Heading1"/>
        <w:spacing w:before="0" w:after="0" w:line="288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28E33F10" w14:textId="2E7AB6D4" w:rsidR="005D2BD0" w:rsidRDefault="006E2D7E" w:rsidP="00550C48">
      <w:pPr>
        <w:pStyle w:val="Heading1"/>
        <w:spacing w:before="0" w:after="0" w:line="288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Evaluation criteria:</w:t>
      </w:r>
    </w:p>
    <w:p w14:paraId="0FFFA020" w14:textId="06BDEF32" w:rsidR="005D2BD0" w:rsidRDefault="006E2D7E" w:rsidP="00550C48">
      <w:pPr>
        <w:spacing w:line="288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Bids will be evaluated under the criteria provided below:</w:t>
      </w:r>
    </w:p>
    <w:p w14:paraId="3F8E11AD" w14:textId="77777777" w:rsidR="00A22D57" w:rsidRDefault="00A22D57" w:rsidP="00550C48">
      <w:pPr>
        <w:spacing w:line="288" w:lineRule="auto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1"/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7433"/>
        <w:gridCol w:w="1800"/>
      </w:tblGrid>
      <w:tr w:rsidR="005D2BD0" w14:paraId="06B328BC" w14:textId="77777777" w:rsidTr="00A22D57">
        <w:trPr>
          <w:trHeight w:val="468"/>
        </w:trPr>
        <w:tc>
          <w:tcPr>
            <w:tcW w:w="397" w:type="dxa"/>
            <w:shd w:val="clear" w:color="auto" w:fill="8DB3E2"/>
          </w:tcPr>
          <w:p w14:paraId="5CAE9FB3" w14:textId="77777777" w:rsidR="005D2BD0" w:rsidRDefault="006E2D7E" w:rsidP="00A22D57">
            <w:pPr>
              <w:spacing w:line="288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7433" w:type="dxa"/>
            <w:shd w:val="clear" w:color="auto" w:fill="8DB3E2"/>
          </w:tcPr>
          <w:p w14:paraId="32317915" w14:textId="77777777" w:rsidR="005D2BD0" w:rsidRDefault="006E2D7E" w:rsidP="00A22D57">
            <w:pPr>
              <w:spacing w:line="288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1800" w:type="dxa"/>
            <w:shd w:val="clear" w:color="auto" w:fill="8DB3E2"/>
          </w:tcPr>
          <w:p w14:paraId="2EFEF96A" w14:textId="77777777" w:rsidR="005D2BD0" w:rsidRDefault="006E2D7E" w:rsidP="00A22D57">
            <w:pPr>
              <w:spacing w:line="288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Weight</w:t>
            </w:r>
          </w:p>
        </w:tc>
      </w:tr>
      <w:tr w:rsidR="005D2BD0" w14:paraId="470BF229" w14:textId="77777777" w:rsidTr="00A22D57">
        <w:trPr>
          <w:trHeight w:val="77"/>
        </w:trPr>
        <w:tc>
          <w:tcPr>
            <w:tcW w:w="397" w:type="dxa"/>
          </w:tcPr>
          <w:p w14:paraId="222E63E1" w14:textId="77777777" w:rsidR="005D2BD0" w:rsidRDefault="006E2D7E" w:rsidP="00550C48">
            <w:pPr>
              <w:spacing w:line="288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3" w:type="dxa"/>
          </w:tcPr>
          <w:p w14:paraId="378E4423" w14:textId="6C710958" w:rsidR="005D2BD0" w:rsidRDefault="006E2D7E" w:rsidP="00550C48">
            <w:pPr>
              <w:tabs>
                <w:tab w:val="left" w:pos="426"/>
              </w:tabs>
              <w:spacing w:line="288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Criterion 1: Professional experience, </w:t>
            </w:r>
            <w:r w:rsidR="00CF788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including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the length</w:t>
            </w:r>
            <w:r w:rsidR="00A22D5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 experience</w:t>
            </w:r>
            <w:r w:rsidR="00CF788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the proven track record of practical expertise in the given field</w:t>
            </w:r>
            <w:r w:rsidR="00CF788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quality </w:t>
            </w:r>
            <w:r w:rsidR="00A22D5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          </w:t>
            </w:r>
            <w:r w:rsidR="00CF788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 example of the analytical product provided</w:t>
            </w:r>
          </w:p>
          <w:p w14:paraId="534DB305" w14:textId="23DB851C" w:rsidR="00A22D57" w:rsidRDefault="00A22D57" w:rsidP="00550C48">
            <w:pPr>
              <w:tabs>
                <w:tab w:val="left" w:pos="426"/>
              </w:tabs>
              <w:spacing w:line="288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D9A7EC" w14:textId="13125C59" w:rsidR="005D2BD0" w:rsidRDefault="002C5FF0" w:rsidP="00550C48">
            <w:pPr>
              <w:spacing w:line="288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70</w:t>
            </w:r>
            <w:r w:rsidR="006E2D7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%</w:t>
            </w:r>
          </w:p>
        </w:tc>
      </w:tr>
      <w:tr w:rsidR="005D2BD0" w14:paraId="759A6156" w14:textId="77777777" w:rsidTr="00A22D57">
        <w:tc>
          <w:tcPr>
            <w:tcW w:w="397" w:type="dxa"/>
          </w:tcPr>
          <w:p w14:paraId="03C107A3" w14:textId="426D7BCD" w:rsidR="005D2BD0" w:rsidRDefault="002C5FF0" w:rsidP="00550C48">
            <w:pPr>
              <w:spacing w:line="288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3" w:type="dxa"/>
          </w:tcPr>
          <w:p w14:paraId="1F4EB8BB" w14:textId="7D334D86" w:rsidR="005D2BD0" w:rsidRDefault="006E2D7E" w:rsidP="00550C48">
            <w:pPr>
              <w:tabs>
                <w:tab w:val="left" w:pos="426"/>
              </w:tabs>
              <w:spacing w:line="288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Criterion </w:t>
            </w:r>
            <w:r w:rsidR="002C5FF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r w:rsidR="00CF788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inancial offer</w:t>
            </w:r>
          </w:p>
          <w:p w14:paraId="2A11A079" w14:textId="77777777" w:rsidR="005D2BD0" w:rsidRDefault="005D2BD0" w:rsidP="00550C48">
            <w:pPr>
              <w:tabs>
                <w:tab w:val="left" w:pos="426"/>
              </w:tabs>
              <w:spacing w:line="288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4600D3" w14:textId="7BD050F0" w:rsidR="005D2BD0" w:rsidRDefault="002C5FF0" w:rsidP="00550C48">
            <w:pPr>
              <w:spacing w:line="288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30</w:t>
            </w:r>
            <w:r w:rsidR="006E2D7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%</w:t>
            </w:r>
          </w:p>
        </w:tc>
      </w:tr>
    </w:tbl>
    <w:p w14:paraId="3E951369" w14:textId="77777777" w:rsidR="005D2BD0" w:rsidRDefault="005D2BD0" w:rsidP="00550C48">
      <w:pPr>
        <w:spacing w:line="288" w:lineRule="auto"/>
        <w:rPr>
          <w:rFonts w:ascii="Verdana" w:eastAsia="Verdana" w:hAnsi="Verdana" w:cs="Verdana"/>
          <w:color w:val="000000"/>
          <w:sz w:val="20"/>
          <w:szCs w:val="20"/>
        </w:rPr>
      </w:pPr>
    </w:p>
    <w:sectPr w:rsidR="005D2BD0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B84C" w14:textId="77777777" w:rsidR="009C0329" w:rsidRDefault="009C0329">
      <w:r>
        <w:separator/>
      </w:r>
    </w:p>
  </w:endnote>
  <w:endnote w:type="continuationSeparator" w:id="0">
    <w:p w14:paraId="71270884" w14:textId="77777777" w:rsidR="009C0329" w:rsidRDefault="009C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8640" w14:textId="77777777" w:rsidR="005D2BD0" w:rsidRDefault="006E2D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  <w:r>
      <w:rPr>
        <w:noProof/>
      </w:rPr>
      <w:drawing>
        <wp:inline distT="0" distB="0" distL="0" distR="0" wp14:anchorId="2A1505EA" wp14:editId="0390BB8D">
          <wp:extent cx="3108960" cy="111569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896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FAD4" w14:textId="77777777" w:rsidR="009C0329" w:rsidRDefault="009C0329">
      <w:r>
        <w:separator/>
      </w:r>
    </w:p>
  </w:footnote>
  <w:footnote w:type="continuationSeparator" w:id="0">
    <w:p w14:paraId="712AA042" w14:textId="77777777" w:rsidR="009C0329" w:rsidRDefault="009C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2648" w14:textId="77777777" w:rsidR="005D2BD0" w:rsidRDefault="006E2D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20"/>
        <w:szCs w:val="20"/>
      </w:rPr>
      <w:drawing>
        <wp:inline distT="0" distB="0" distL="0" distR="0" wp14:anchorId="0503C38C" wp14:editId="7C718555">
          <wp:extent cx="5758207" cy="83131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378" t="45284" r="12594" b="4452"/>
                  <a:stretch>
                    <a:fillRect/>
                  </a:stretch>
                </pic:blipFill>
                <pic:spPr>
                  <a:xfrm>
                    <a:off x="0" y="0"/>
                    <a:ext cx="5758207" cy="831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8E5"/>
    <w:multiLevelType w:val="hybridMultilevel"/>
    <w:tmpl w:val="42A0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0ED4"/>
    <w:multiLevelType w:val="hybridMultilevel"/>
    <w:tmpl w:val="A44A4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48B1"/>
    <w:multiLevelType w:val="hybridMultilevel"/>
    <w:tmpl w:val="CA909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131CA"/>
    <w:multiLevelType w:val="hybridMultilevel"/>
    <w:tmpl w:val="A0266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C704E"/>
    <w:multiLevelType w:val="multilevel"/>
    <w:tmpl w:val="47142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0C7459"/>
    <w:multiLevelType w:val="hybridMultilevel"/>
    <w:tmpl w:val="C47E8CE4"/>
    <w:lvl w:ilvl="0" w:tplc="304410A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36B36"/>
    <w:multiLevelType w:val="multilevel"/>
    <w:tmpl w:val="97AE9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5A0F4D"/>
    <w:multiLevelType w:val="hybridMultilevel"/>
    <w:tmpl w:val="914C7756"/>
    <w:lvl w:ilvl="0" w:tplc="C2C6C6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D650F"/>
    <w:multiLevelType w:val="multilevel"/>
    <w:tmpl w:val="7CFC6F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DF4789"/>
    <w:multiLevelType w:val="hybridMultilevel"/>
    <w:tmpl w:val="B7CCBF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0C279D"/>
    <w:multiLevelType w:val="hybridMultilevel"/>
    <w:tmpl w:val="799E131C"/>
    <w:lvl w:ilvl="0" w:tplc="91780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82112"/>
    <w:multiLevelType w:val="hybridMultilevel"/>
    <w:tmpl w:val="AB2E7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256EF6"/>
    <w:multiLevelType w:val="hybridMultilevel"/>
    <w:tmpl w:val="6B08AF70"/>
    <w:lvl w:ilvl="0" w:tplc="17E0555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184"/>
    <w:multiLevelType w:val="hybridMultilevel"/>
    <w:tmpl w:val="993AD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57598"/>
    <w:multiLevelType w:val="multilevel"/>
    <w:tmpl w:val="4EBE5D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346362A"/>
    <w:multiLevelType w:val="hybridMultilevel"/>
    <w:tmpl w:val="697AE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4E6629"/>
    <w:multiLevelType w:val="hybridMultilevel"/>
    <w:tmpl w:val="DC86B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3C407A"/>
    <w:multiLevelType w:val="hybridMultilevel"/>
    <w:tmpl w:val="423A323A"/>
    <w:lvl w:ilvl="0" w:tplc="FA18385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AC5673"/>
    <w:multiLevelType w:val="hybridMultilevel"/>
    <w:tmpl w:val="936AF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16164A"/>
    <w:multiLevelType w:val="hybridMultilevel"/>
    <w:tmpl w:val="EE246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590949"/>
    <w:multiLevelType w:val="hybridMultilevel"/>
    <w:tmpl w:val="A9DA9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A22D60"/>
    <w:multiLevelType w:val="hybridMultilevel"/>
    <w:tmpl w:val="D4EE4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15"/>
  </w:num>
  <w:num w:numId="10">
    <w:abstractNumId w:val="19"/>
  </w:num>
  <w:num w:numId="11">
    <w:abstractNumId w:val="1"/>
  </w:num>
  <w:num w:numId="12">
    <w:abstractNumId w:val="2"/>
  </w:num>
  <w:num w:numId="13">
    <w:abstractNumId w:val="17"/>
  </w:num>
  <w:num w:numId="14">
    <w:abstractNumId w:val="5"/>
  </w:num>
  <w:num w:numId="15">
    <w:abstractNumId w:val="12"/>
  </w:num>
  <w:num w:numId="16">
    <w:abstractNumId w:val="0"/>
  </w:num>
  <w:num w:numId="17">
    <w:abstractNumId w:val="10"/>
  </w:num>
  <w:num w:numId="18">
    <w:abstractNumId w:val="3"/>
  </w:num>
  <w:num w:numId="19">
    <w:abstractNumId w:val="11"/>
  </w:num>
  <w:num w:numId="20">
    <w:abstractNumId w:val="20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D2BD0"/>
    <w:rsid w:val="00012938"/>
    <w:rsid w:val="00061F4E"/>
    <w:rsid w:val="00064287"/>
    <w:rsid w:val="00070DF9"/>
    <w:rsid w:val="000741D4"/>
    <w:rsid w:val="00076FB9"/>
    <w:rsid w:val="00081205"/>
    <w:rsid w:val="00096E92"/>
    <w:rsid w:val="000A3915"/>
    <w:rsid w:val="000A69BE"/>
    <w:rsid w:val="000D73B4"/>
    <w:rsid w:val="0010623A"/>
    <w:rsid w:val="001122A9"/>
    <w:rsid w:val="00120B5D"/>
    <w:rsid w:val="0013292B"/>
    <w:rsid w:val="00134F33"/>
    <w:rsid w:val="0013795E"/>
    <w:rsid w:val="001517CA"/>
    <w:rsid w:val="001542E4"/>
    <w:rsid w:val="001618D7"/>
    <w:rsid w:val="0016427F"/>
    <w:rsid w:val="001663E4"/>
    <w:rsid w:val="00182DB2"/>
    <w:rsid w:val="001B1072"/>
    <w:rsid w:val="001D0427"/>
    <w:rsid w:val="001D5DC7"/>
    <w:rsid w:val="001E155E"/>
    <w:rsid w:val="0021268A"/>
    <w:rsid w:val="00217A23"/>
    <w:rsid w:val="00234A45"/>
    <w:rsid w:val="0023524A"/>
    <w:rsid w:val="00253419"/>
    <w:rsid w:val="00264528"/>
    <w:rsid w:val="00265EA0"/>
    <w:rsid w:val="002746E8"/>
    <w:rsid w:val="00290F08"/>
    <w:rsid w:val="002A1F86"/>
    <w:rsid w:val="002C0C8D"/>
    <w:rsid w:val="002C5FF0"/>
    <w:rsid w:val="002D44C6"/>
    <w:rsid w:val="002D7FA4"/>
    <w:rsid w:val="002E6671"/>
    <w:rsid w:val="002F0E8B"/>
    <w:rsid w:val="002F1C3B"/>
    <w:rsid w:val="002F5AB3"/>
    <w:rsid w:val="003008FF"/>
    <w:rsid w:val="0031322E"/>
    <w:rsid w:val="00327B41"/>
    <w:rsid w:val="00333534"/>
    <w:rsid w:val="00342594"/>
    <w:rsid w:val="00342EEA"/>
    <w:rsid w:val="0035189D"/>
    <w:rsid w:val="00375DB7"/>
    <w:rsid w:val="003B46E2"/>
    <w:rsid w:val="003B4B55"/>
    <w:rsid w:val="003C2BA0"/>
    <w:rsid w:val="003C3A25"/>
    <w:rsid w:val="003C3F69"/>
    <w:rsid w:val="003D358B"/>
    <w:rsid w:val="003D43C4"/>
    <w:rsid w:val="004002BE"/>
    <w:rsid w:val="004065AC"/>
    <w:rsid w:val="00406CA0"/>
    <w:rsid w:val="00413442"/>
    <w:rsid w:val="00416FAB"/>
    <w:rsid w:val="00434439"/>
    <w:rsid w:val="00435208"/>
    <w:rsid w:val="00450817"/>
    <w:rsid w:val="00461DF5"/>
    <w:rsid w:val="004641A4"/>
    <w:rsid w:val="00473A4E"/>
    <w:rsid w:val="00482A66"/>
    <w:rsid w:val="004B0C7B"/>
    <w:rsid w:val="004C18EB"/>
    <w:rsid w:val="004D4DB6"/>
    <w:rsid w:val="004F406C"/>
    <w:rsid w:val="00512DE0"/>
    <w:rsid w:val="0052245A"/>
    <w:rsid w:val="005242A6"/>
    <w:rsid w:val="00531BDA"/>
    <w:rsid w:val="00541BDE"/>
    <w:rsid w:val="005470A3"/>
    <w:rsid w:val="00550C48"/>
    <w:rsid w:val="005611DC"/>
    <w:rsid w:val="00565BFB"/>
    <w:rsid w:val="0056611C"/>
    <w:rsid w:val="0059313C"/>
    <w:rsid w:val="005A0E3B"/>
    <w:rsid w:val="005C0DAB"/>
    <w:rsid w:val="005C56E5"/>
    <w:rsid w:val="005D2BD0"/>
    <w:rsid w:val="005F0EDC"/>
    <w:rsid w:val="006071DB"/>
    <w:rsid w:val="006121EB"/>
    <w:rsid w:val="00617949"/>
    <w:rsid w:val="006269D5"/>
    <w:rsid w:val="006377A3"/>
    <w:rsid w:val="00651139"/>
    <w:rsid w:val="00653233"/>
    <w:rsid w:val="00662DEB"/>
    <w:rsid w:val="0069078A"/>
    <w:rsid w:val="006B686D"/>
    <w:rsid w:val="006C5B33"/>
    <w:rsid w:val="006C5CD5"/>
    <w:rsid w:val="006D5FDF"/>
    <w:rsid w:val="006E2D7E"/>
    <w:rsid w:val="006F3736"/>
    <w:rsid w:val="006F5155"/>
    <w:rsid w:val="00706168"/>
    <w:rsid w:val="007077FA"/>
    <w:rsid w:val="00724D99"/>
    <w:rsid w:val="0072690B"/>
    <w:rsid w:val="0073388B"/>
    <w:rsid w:val="007345B3"/>
    <w:rsid w:val="00737058"/>
    <w:rsid w:val="00740566"/>
    <w:rsid w:val="00745EAC"/>
    <w:rsid w:val="00754E49"/>
    <w:rsid w:val="007613D7"/>
    <w:rsid w:val="00775331"/>
    <w:rsid w:val="00775558"/>
    <w:rsid w:val="00780C9F"/>
    <w:rsid w:val="007971CA"/>
    <w:rsid w:val="007A2210"/>
    <w:rsid w:val="007A46DF"/>
    <w:rsid w:val="007B7722"/>
    <w:rsid w:val="007E1371"/>
    <w:rsid w:val="007E46C1"/>
    <w:rsid w:val="007F0DC9"/>
    <w:rsid w:val="007F38CC"/>
    <w:rsid w:val="007F403C"/>
    <w:rsid w:val="00801F57"/>
    <w:rsid w:val="00803F8F"/>
    <w:rsid w:val="00812321"/>
    <w:rsid w:val="00816D13"/>
    <w:rsid w:val="0082183B"/>
    <w:rsid w:val="0083454E"/>
    <w:rsid w:val="008438F2"/>
    <w:rsid w:val="00844E7C"/>
    <w:rsid w:val="00856814"/>
    <w:rsid w:val="00870C0B"/>
    <w:rsid w:val="00876672"/>
    <w:rsid w:val="008964BE"/>
    <w:rsid w:val="008A7A93"/>
    <w:rsid w:val="008C0EA7"/>
    <w:rsid w:val="008E37AD"/>
    <w:rsid w:val="008F0033"/>
    <w:rsid w:val="008F01E7"/>
    <w:rsid w:val="008F320D"/>
    <w:rsid w:val="00914FC1"/>
    <w:rsid w:val="00916236"/>
    <w:rsid w:val="0094077C"/>
    <w:rsid w:val="00942512"/>
    <w:rsid w:val="009501E3"/>
    <w:rsid w:val="00966653"/>
    <w:rsid w:val="00984A8C"/>
    <w:rsid w:val="00992A19"/>
    <w:rsid w:val="009C0329"/>
    <w:rsid w:val="009D1E96"/>
    <w:rsid w:val="009D5A65"/>
    <w:rsid w:val="009F0138"/>
    <w:rsid w:val="009F7CDB"/>
    <w:rsid w:val="00A03756"/>
    <w:rsid w:val="00A162B0"/>
    <w:rsid w:val="00A228EA"/>
    <w:rsid w:val="00A22D57"/>
    <w:rsid w:val="00A25650"/>
    <w:rsid w:val="00A2631D"/>
    <w:rsid w:val="00A34A4E"/>
    <w:rsid w:val="00A63EAB"/>
    <w:rsid w:val="00A81A6F"/>
    <w:rsid w:val="00A90C9D"/>
    <w:rsid w:val="00AA5DC7"/>
    <w:rsid w:val="00AC7043"/>
    <w:rsid w:val="00AD2653"/>
    <w:rsid w:val="00AD2906"/>
    <w:rsid w:val="00AD34D9"/>
    <w:rsid w:val="00AE4118"/>
    <w:rsid w:val="00B048DF"/>
    <w:rsid w:val="00B200B3"/>
    <w:rsid w:val="00B20723"/>
    <w:rsid w:val="00B2370C"/>
    <w:rsid w:val="00B35893"/>
    <w:rsid w:val="00B531D9"/>
    <w:rsid w:val="00B539E6"/>
    <w:rsid w:val="00B572AA"/>
    <w:rsid w:val="00B747A2"/>
    <w:rsid w:val="00B87B40"/>
    <w:rsid w:val="00BA0D01"/>
    <w:rsid w:val="00BC0C4A"/>
    <w:rsid w:val="00BC6C7C"/>
    <w:rsid w:val="00BC7C04"/>
    <w:rsid w:val="00BD40B4"/>
    <w:rsid w:val="00BE0199"/>
    <w:rsid w:val="00BE75E5"/>
    <w:rsid w:val="00BF0E90"/>
    <w:rsid w:val="00BF1076"/>
    <w:rsid w:val="00BF150A"/>
    <w:rsid w:val="00C06F79"/>
    <w:rsid w:val="00C1064D"/>
    <w:rsid w:val="00C2788B"/>
    <w:rsid w:val="00C547C9"/>
    <w:rsid w:val="00C558B6"/>
    <w:rsid w:val="00C71513"/>
    <w:rsid w:val="00C829B9"/>
    <w:rsid w:val="00C900C2"/>
    <w:rsid w:val="00CA2268"/>
    <w:rsid w:val="00CC4C6E"/>
    <w:rsid w:val="00CE2FF1"/>
    <w:rsid w:val="00CE67B3"/>
    <w:rsid w:val="00CF5F6B"/>
    <w:rsid w:val="00CF7883"/>
    <w:rsid w:val="00D05724"/>
    <w:rsid w:val="00D3015D"/>
    <w:rsid w:val="00D3794F"/>
    <w:rsid w:val="00D413C0"/>
    <w:rsid w:val="00D41DF0"/>
    <w:rsid w:val="00D4314E"/>
    <w:rsid w:val="00D47826"/>
    <w:rsid w:val="00D836DE"/>
    <w:rsid w:val="00D87F73"/>
    <w:rsid w:val="00D90E27"/>
    <w:rsid w:val="00D973D1"/>
    <w:rsid w:val="00DA7567"/>
    <w:rsid w:val="00DB075A"/>
    <w:rsid w:val="00DC2E5B"/>
    <w:rsid w:val="00DD667D"/>
    <w:rsid w:val="00DF2FF8"/>
    <w:rsid w:val="00E04F51"/>
    <w:rsid w:val="00E14114"/>
    <w:rsid w:val="00E17CC8"/>
    <w:rsid w:val="00E265E5"/>
    <w:rsid w:val="00E3329C"/>
    <w:rsid w:val="00E43C68"/>
    <w:rsid w:val="00E60726"/>
    <w:rsid w:val="00E621D8"/>
    <w:rsid w:val="00E63345"/>
    <w:rsid w:val="00EA502E"/>
    <w:rsid w:val="00EB4691"/>
    <w:rsid w:val="00EB78DF"/>
    <w:rsid w:val="00EC143F"/>
    <w:rsid w:val="00EE0EE6"/>
    <w:rsid w:val="00EE4CC6"/>
    <w:rsid w:val="00EF0B3C"/>
    <w:rsid w:val="00F15CB0"/>
    <w:rsid w:val="00F2393D"/>
    <w:rsid w:val="00F44455"/>
    <w:rsid w:val="00F548E1"/>
    <w:rsid w:val="00F63EF6"/>
    <w:rsid w:val="00F74F92"/>
    <w:rsid w:val="00F76718"/>
    <w:rsid w:val="00F806E4"/>
    <w:rsid w:val="00F96DC3"/>
    <w:rsid w:val="00F970CD"/>
    <w:rsid w:val="00FA657D"/>
    <w:rsid w:val="00FA6C3B"/>
    <w:rsid w:val="00FA7321"/>
    <w:rsid w:val="00FC178A"/>
    <w:rsid w:val="00FC1F3C"/>
    <w:rsid w:val="00FC2103"/>
    <w:rsid w:val="00FD0BC3"/>
    <w:rsid w:val="00FE288F"/>
    <w:rsid w:val="00FE6C5A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97B1"/>
  <w15:docId w15:val="{DAE02328-EE8A-42F5-9AE5-90D6358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="Cambria" w:eastAsia="Cambria" w:hAnsi="Cambria" w:cs="Cambria"/>
      <w:i/>
      <w:color w:val="366091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1"/>
    <w:qFormat/>
    <w:rsid w:val="00DA7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6A"/>
    <w:rPr>
      <w:rFonts w:ascii="Segoe UI" w:hAnsi="Segoe UI" w:cs="Segoe UI"/>
      <w:sz w:val="18"/>
      <w:szCs w:val="1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1D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795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150A"/>
  </w:style>
  <w:style w:type="paragraph" w:styleId="FootnoteText">
    <w:name w:val="footnote text"/>
    <w:basedOn w:val="Normal"/>
    <w:link w:val="FootnoteTextChar"/>
    <w:uiPriority w:val="99"/>
    <w:semiHidden/>
    <w:unhideWhenUsed/>
    <w:rsid w:val="00BF15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50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50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6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F8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6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06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evrom@um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uaci@um.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evrom@um.dk" TargetMode="External"/><Relationship Id="rId4" Type="http://schemas.openxmlformats.org/officeDocument/2006/relationships/styles" Target="styles.xml"/><Relationship Id="rId9" Type="http://schemas.openxmlformats.org/officeDocument/2006/relationships/hyperlink" Target="mailto:euaci@um.d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1hUzRnMdWuNGGZ1zfs4AEKzf0w==">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F197EB-D109-4B4B-9B4F-10156B88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Udenrigsministeriet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Nakhod</dc:creator>
  <cp:keywords/>
  <dc:description/>
  <cp:lastModifiedBy>Ievgen Olexandrovych Romanenko</cp:lastModifiedBy>
  <cp:revision>4</cp:revision>
  <cp:lastPrinted>2024-06-19T13:02:00Z</cp:lastPrinted>
  <dcterms:created xsi:type="dcterms:W3CDTF">2025-01-24T08:33:00Z</dcterms:created>
  <dcterms:modified xsi:type="dcterms:W3CDTF">2025-01-24T08:38:00Z</dcterms:modified>
</cp:coreProperties>
</file>